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22" w:rsidRDefault="00CF5122" w:rsidP="00CF5122">
      <w:pPr>
        <w:autoSpaceDE w:val="0"/>
        <w:autoSpaceDN w:val="0"/>
        <w:adjustRightInd w:val="0"/>
        <w:jc w:val="center"/>
        <w:rPr>
          <w:rFonts w:ascii="Calibri" w:hAnsi="Calibri" w:cs="Calibri"/>
          <w:color w:val="1F497D"/>
        </w:rPr>
      </w:pPr>
      <w:bookmarkStart w:id="0" w:name="_GoBack"/>
      <w:bookmarkEnd w:id="0"/>
      <w:r>
        <w:rPr>
          <w:rFonts w:ascii="Calibri" w:hAnsi="Calibri" w:cs="Calibri"/>
          <w:color w:val="1F497D"/>
        </w:rPr>
        <w:t xml:space="preserve">FREQUENTLY ASKED QUESTIONS:  </w:t>
      </w:r>
    </w:p>
    <w:p w:rsidR="00CF5122" w:rsidRDefault="00CF5122" w:rsidP="00CF5122">
      <w:pPr>
        <w:autoSpaceDE w:val="0"/>
        <w:autoSpaceDN w:val="0"/>
        <w:adjustRightInd w:val="0"/>
        <w:jc w:val="center"/>
        <w:rPr>
          <w:rFonts w:ascii="Calibri" w:hAnsi="Calibri" w:cs="Calibri"/>
          <w:color w:val="1F497D"/>
        </w:rPr>
      </w:pPr>
      <w:r>
        <w:rPr>
          <w:rFonts w:ascii="Calibri" w:hAnsi="Calibri" w:cs="Calibri"/>
          <w:color w:val="1F497D"/>
        </w:rPr>
        <w:t>Improved Cost Recovery Uplift (ICRU)</w:t>
      </w:r>
    </w:p>
    <w:p w:rsidR="00CF5122" w:rsidRDefault="00CF5122" w:rsidP="00CF5122">
      <w:pPr>
        <w:autoSpaceDE w:val="0"/>
        <w:autoSpaceDN w:val="0"/>
        <w:adjustRightInd w:val="0"/>
        <w:jc w:val="center"/>
        <w:rPr>
          <w:rFonts w:ascii="Calibri" w:hAnsi="Calibri" w:cs="Calibri"/>
          <w:color w:val="1F497D"/>
        </w:rPr>
      </w:pPr>
    </w:p>
    <w:p w:rsidR="00CF5122" w:rsidRDefault="00CF5122" w:rsidP="00CF5122">
      <w:pPr>
        <w:autoSpaceDE w:val="0"/>
        <w:autoSpaceDN w:val="0"/>
        <w:adjustRightInd w:val="0"/>
        <w:jc w:val="center"/>
        <w:rPr>
          <w:rFonts w:ascii="Calibri" w:hAnsi="Calibri" w:cs="Calibri"/>
          <w:color w:val="1F497D"/>
        </w:rPr>
      </w:pPr>
      <w:r>
        <w:rPr>
          <w:rFonts w:ascii="Calibri" w:hAnsi="Calibri" w:cs="Calibri"/>
          <w:color w:val="1F497D"/>
        </w:rPr>
        <w:t>This document was prepared to provide support and guidance on the implementation of the cost recovery mechanism that was approved by Member Nations.</w:t>
      </w:r>
    </w:p>
    <w:p w:rsidR="00CF5122" w:rsidRDefault="00CF5122" w:rsidP="00CF5122">
      <w:pPr>
        <w:autoSpaceDE w:val="0"/>
        <w:autoSpaceDN w:val="0"/>
        <w:adjustRightInd w:val="0"/>
        <w:rPr>
          <w:rFonts w:ascii="Calibri" w:hAnsi="Calibri" w:cs="Calibri"/>
          <w:color w:val="1F497D"/>
        </w:rPr>
      </w:pPr>
    </w:p>
    <w:p w:rsidR="003A6E17" w:rsidRPr="004773AF" w:rsidRDefault="003A6E17" w:rsidP="004773AF">
      <w:pPr>
        <w:pStyle w:val="ListParagraph"/>
        <w:numPr>
          <w:ilvl w:val="0"/>
          <w:numId w:val="1"/>
        </w:numPr>
        <w:autoSpaceDE w:val="0"/>
        <w:autoSpaceDN w:val="0"/>
        <w:adjustRightInd w:val="0"/>
        <w:rPr>
          <w:rFonts w:ascii="Calibri" w:hAnsi="Calibri" w:cs="Calibri"/>
          <w:i/>
          <w:iCs/>
          <w:color w:val="1F497D"/>
        </w:rPr>
      </w:pPr>
      <w:r w:rsidRPr="004773AF">
        <w:rPr>
          <w:rFonts w:ascii="Calibri" w:hAnsi="Calibri" w:cs="Calibri"/>
          <w:i/>
          <w:iCs/>
          <w:color w:val="1F497D"/>
        </w:rPr>
        <w:t>Why are we implementing ICRU?</w:t>
      </w:r>
    </w:p>
    <w:p w:rsidR="003A6E17" w:rsidRDefault="004773AF" w:rsidP="003A6E17">
      <w:pPr>
        <w:autoSpaceDE w:val="0"/>
        <w:autoSpaceDN w:val="0"/>
        <w:adjustRightInd w:val="0"/>
        <w:rPr>
          <w:rFonts w:ascii="Calibri" w:hAnsi="Calibri" w:cs="Calibri"/>
          <w:color w:val="1F497D"/>
        </w:rPr>
      </w:pPr>
      <w:r>
        <w:rPr>
          <w:rFonts w:ascii="Calibri" w:hAnsi="Calibri" w:cs="Calibri"/>
          <w:color w:val="1F497D"/>
        </w:rPr>
        <w:t>The</w:t>
      </w:r>
      <w:r w:rsidR="003A6E17">
        <w:rPr>
          <w:rFonts w:ascii="Calibri" w:hAnsi="Calibri" w:cs="Calibri"/>
          <w:color w:val="1F497D"/>
        </w:rPr>
        <w:t xml:space="preserve"> ICRU was developed in response to the FAO Conference, which in July 2011 urged the Organization to vigorously pursue improving the recovery of administrative and operational support costs arising from extra-budgetary activities, including in areas such as country-level costs, security and information systems and technology</w:t>
      </w:r>
      <w:r w:rsidR="00335031">
        <w:rPr>
          <w:rFonts w:ascii="Calibri" w:hAnsi="Calibri" w:cs="Calibri"/>
          <w:color w:val="1F497D"/>
        </w:rPr>
        <w:t>.</w:t>
      </w:r>
      <w:r w:rsidR="00505C61" w:rsidRPr="00505C61">
        <w:rPr>
          <w:color w:val="1F497D"/>
        </w:rPr>
        <w:t xml:space="preserve"> </w:t>
      </w:r>
      <w:r w:rsidR="00505C61">
        <w:rPr>
          <w:color w:val="1F497D"/>
        </w:rPr>
        <w:t xml:space="preserve">  ICRU</w:t>
      </w:r>
      <w:r w:rsidR="00505C61" w:rsidRPr="008E636E">
        <w:rPr>
          <w:color w:val="1F497D"/>
        </w:rPr>
        <w:t xml:space="preserve"> was endorsed by the Council at its 143</w:t>
      </w:r>
      <w:r w:rsidR="00505C61" w:rsidRPr="008E636E">
        <w:rPr>
          <w:color w:val="1F497D"/>
          <w:vertAlign w:val="superscript"/>
        </w:rPr>
        <w:t>rd</w:t>
      </w:r>
      <w:r w:rsidR="00505C61" w:rsidRPr="008E636E">
        <w:rPr>
          <w:color w:val="1F497D"/>
        </w:rPr>
        <w:t xml:space="preserve"> session in December 2011</w:t>
      </w:r>
      <w:r w:rsidR="00505C61">
        <w:rPr>
          <w:color w:val="1F497D"/>
        </w:rPr>
        <w:t>.</w:t>
      </w:r>
    </w:p>
    <w:p w:rsidR="00335031" w:rsidRDefault="00335031" w:rsidP="003A6E17">
      <w:pPr>
        <w:autoSpaceDE w:val="0"/>
        <w:autoSpaceDN w:val="0"/>
        <w:adjustRightInd w:val="0"/>
        <w:rPr>
          <w:rFonts w:ascii="Calibri" w:hAnsi="Calibri" w:cs="Calibri"/>
          <w:color w:val="1F497D"/>
        </w:rPr>
      </w:pPr>
    </w:p>
    <w:p w:rsidR="00335031" w:rsidRPr="00335031" w:rsidRDefault="00335031" w:rsidP="00335031">
      <w:pPr>
        <w:pStyle w:val="ListParagraph"/>
        <w:numPr>
          <w:ilvl w:val="0"/>
          <w:numId w:val="1"/>
        </w:numPr>
        <w:autoSpaceDE w:val="0"/>
        <w:autoSpaceDN w:val="0"/>
        <w:adjustRightInd w:val="0"/>
        <w:rPr>
          <w:rFonts w:ascii="Calibri" w:hAnsi="Calibri" w:cs="Calibri"/>
          <w:i/>
          <w:iCs/>
          <w:color w:val="1F497D"/>
        </w:rPr>
      </w:pPr>
      <w:r w:rsidRPr="00335031">
        <w:rPr>
          <w:rFonts w:ascii="Calibri" w:hAnsi="Calibri" w:cs="Calibri"/>
          <w:i/>
          <w:iCs/>
          <w:color w:val="1F497D"/>
        </w:rPr>
        <w:t>What costs are being recovered?</w:t>
      </w:r>
    </w:p>
    <w:p w:rsidR="00335031" w:rsidRPr="00335031" w:rsidRDefault="00335031" w:rsidP="00335031">
      <w:pPr>
        <w:autoSpaceDE w:val="0"/>
        <w:autoSpaceDN w:val="0"/>
        <w:adjustRightInd w:val="0"/>
        <w:rPr>
          <w:rFonts w:ascii="Calibri" w:hAnsi="Calibri" w:cs="Calibri"/>
          <w:color w:val="1F497D"/>
        </w:rPr>
      </w:pPr>
      <w:r w:rsidRPr="00335031">
        <w:rPr>
          <w:rFonts w:ascii="Calibri" w:hAnsi="Calibri" w:cs="Calibri"/>
          <w:color w:val="1F497D"/>
        </w:rPr>
        <w:t>The following costs are being recovered through the ICRU:</w:t>
      </w:r>
    </w:p>
    <w:p w:rsidR="00335031" w:rsidRPr="00335031" w:rsidRDefault="00335031" w:rsidP="00335031">
      <w:pPr>
        <w:autoSpaceDE w:val="0"/>
        <w:autoSpaceDN w:val="0"/>
        <w:adjustRightInd w:val="0"/>
        <w:rPr>
          <w:rFonts w:ascii="Calibri" w:hAnsi="Calibri" w:cs="Calibri"/>
          <w:color w:val="1F497D"/>
        </w:rPr>
      </w:pPr>
      <w:r w:rsidRPr="00335031">
        <w:rPr>
          <w:rFonts w:ascii="Calibri" w:hAnsi="Calibri" w:cs="Calibri"/>
          <w:color w:val="1F497D"/>
        </w:rPr>
        <w:t>As of April 2012,</w:t>
      </w:r>
      <w:r>
        <w:rPr>
          <w:rFonts w:ascii="Calibri" w:hAnsi="Calibri" w:cs="Calibri"/>
          <w:sz w:val="24"/>
          <w:szCs w:val="24"/>
        </w:rPr>
        <w:t xml:space="preserve"> </w:t>
      </w:r>
      <w:r w:rsidRPr="00335031">
        <w:rPr>
          <w:rFonts w:ascii="Calibri" w:hAnsi="Calibri" w:cs="Calibri"/>
          <w:color w:val="1F497D"/>
        </w:rPr>
        <w:t>for</w:t>
      </w:r>
      <w:r>
        <w:rPr>
          <w:rFonts w:ascii="Calibri" w:hAnsi="Calibri" w:cs="Calibri"/>
          <w:b/>
          <w:bCs/>
          <w:sz w:val="24"/>
          <w:szCs w:val="24"/>
        </w:rPr>
        <w:t xml:space="preserve"> </w:t>
      </w:r>
      <w:r w:rsidRPr="00335031">
        <w:rPr>
          <w:rFonts w:ascii="Calibri" w:hAnsi="Calibri" w:cs="Calibri"/>
          <w:color w:val="1F497D"/>
        </w:rPr>
        <w:t xml:space="preserve">extra-budgetary financed Project Staff and Consultants at Headquarters:  </w:t>
      </w:r>
    </w:p>
    <w:p w:rsidR="00335031" w:rsidRDefault="00335031" w:rsidP="00335031">
      <w:pPr>
        <w:pStyle w:val="ListParagraph"/>
        <w:numPr>
          <w:ilvl w:val="1"/>
          <w:numId w:val="1"/>
        </w:numPr>
        <w:autoSpaceDE w:val="0"/>
        <w:autoSpaceDN w:val="0"/>
        <w:adjustRightInd w:val="0"/>
        <w:rPr>
          <w:rFonts w:ascii="Calibri" w:hAnsi="Calibri" w:cs="Calibri"/>
          <w:color w:val="1F497D"/>
        </w:rPr>
      </w:pPr>
      <w:r w:rsidRPr="00335031">
        <w:rPr>
          <w:rFonts w:ascii="Calibri" w:hAnsi="Calibri" w:cs="Calibri"/>
          <w:color w:val="1F497D"/>
        </w:rPr>
        <w:t>IT support services including the costs of e-mail, intranet access, internet access, help desk, use of corporate systems, software licenses, band-width, hardware replacement management and telephone infrastructure;</w:t>
      </w:r>
    </w:p>
    <w:p w:rsidR="00335031" w:rsidRDefault="00335031" w:rsidP="00335031">
      <w:pPr>
        <w:pStyle w:val="ListParagraph"/>
        <w:numPr>
          <w:ilvl w:val="1"/>
          <w:numId w:val="1"/>
        </w:numPr>
        <w:autoSpaceDE w:val="0"/>
        <w:autoSpaceDN w:val="0"/>
        <w:adjustRightInd w:val="0"/>
        <w:rPr>
          <w:rFonts w:ascii="Calibri" w:hAnsi="Calibri" w:cs="Calibri"/>
          <w:color w:val="1F497D"/>
        </w:rPr>
      </w:pPr>
      <w:r w:rsidRPr="00335031">
        <w:rPr>
          <w:rFonts w:ascii="Calibri" w:hAnsi="Calibri" w:cs="Calibri"/>
          <w:color w:val="1F497D"/>
        </w:rPr>
        <w:t>Security services;</w:t>
      </w:r>
    </w:p>
    <w:p w:rsidR="00335031" w:rsidRPr="00335031" w:rsidRDefault="00C52F37" w:rsidP="00335031">
      <w:pPr>
        <w:pStyle w:val="ListParagraph"/>
        <w:numPr>
          <w:ilvl w:val="1"/>
          <w:numId w:val="1"/>
        </w:numPr>
        <w:autoSpaceDE w:val="0"/>
        <w:autoSpaceDN w:val="0"/>
        <w:adjustRightInd w:val="0"/>
        <w:rPr>
          <w:rFonts w:ascii="Calibri" w:hAnsi="Calibri" w:cs="Calibri"/>
          <w:color w:val="1F497D"/>
        </w:rPr>
      </w:pPr>
      <w:r>
        <w:rPr>
          <w:rFonts w:ascii="Calibri" w:hAnsi="Calibri" w:cs="Calibri"/>
          <w:color w:val="1F497D"/>
        </w:rPr>
        <w:t>Office s</w:t>
      </w:r>
      <w:r w:rsidR="00335031" w:rsidRPr="00335031">
        <w:rPr>
          <w:rFonts w:ascii="Calibri" w:hAnsi="Calibri" w:cs="Calibri"/>
          <w:color w:val="1F497D"/>
        </w:rPr>
        <w:t>pace occupancy charge (as of May 2012, this charge is included in the ICRU and not recovered separately from projects by CSA).</w:t>
      </w:r>
    </w:p>
    <w:p w:rsidR="00335031" w:rsidRDefault="00335031" w:rsidP="00335031">
      <w:pPr>
        <w:autoSpaceDE w:val="0"/>
        <w:autoSpaceDN w:val="0"/>
        <w:adjustRightInd w:val="0"/>
        <w:rPr>
          <w:rFonts w:ascii="Calibri" w:hAnsi="Calibri" w:cs="Calibri"/>
          <w:color w:val="1F497D"/>
        </w:rPr>
      </w:pPr>
    </w:p>
    <w:p w:rsidR="00335031" w:rsidRDefault="00335031" w:rsidP="00335031">
      <w:pPr>
        <w:autoSpaceDE w:val="0"/>
        <w:autoSpaceDN w:val="0"/>
        <w:adjustRightInd w:val="0"/>
        <w:rPr>
          <w:rFonts w:ascii="Calibri" w:hAnsi="Calibri" w:cs="Calibri"/>
          <w:color w:val="1F497D"/>
        </w:rPr>
      </w:pPr>
      <w:r>
        <w:rPr>
          <w:rFonts w:ascii="Calibri" w:hAnsi="Calibri" w:cs="Calibri"/>
          <w:color w:val="1F497D"/>
        </w:rPr>
        <w:t>As of January 2014, in addition to the three HQ ICRU charges</w:t>
      </w:r>
      <w:r w:rsidR="00C52F37">
        <w:rPr>
          <w:rFonts w:ascii="Calibri" w:hAnsi="Calibri" w:cs="Calibri"/>
          <w:color w:val="1F497D"/>
        </w:rPr>
        <w:t xml:space="preserve"> (a-c)</w:t>
      </w:r>
      <w:r>
        <w:rPr>
          <w:rFonts w:ascii="Calibri" w:hAnsi="Calibri" w:cs="Calibri"/>
          <w:color w:val="1F497D"/>
        </w:rPr>
        <w:t>, ext</w:t>
      </w:r>
      <w:r w:rsidRPr="00335031">
        <w:rPr>
          <w:rFonts w:ascii="Calibri" w:hAnsi="Calibri" w:cs="Calibri"/>
          <w:color w:val="1F497D"/>
        </w:rPr>
        <w:t xml:space="preserve">ra-budgetary financed Project Staff and Consultants at </w:t>
      </w:r>
      <w:r>
        <w:rPr>
          <w:rFonts w:ascii="Calibri" w:hAnsi="Calibri" w:cs="Calibri"/>
          <w:color w:val="1F497D"/>
        </w:rPr>
        <w:t>Decentralized and Project Offices</w:t>
      </w:r>
    </w:p>
    <w:p w:rsidR="00335031" w:rsidRPr="00C52F37" w:rsidRDefault="00335031" w:rsidP="00C52F37">
      <w:pPr>
        <w:pStyle w:val="ListParagraph"/>
        <w:numPr>
          <w:ilvl w:val="1"/>
          <w:numId w:val="1"/>
        </w:numPr>
        <w:autoSpaceDE w:val="0"/>
        <w:autoSpaceDN w:val="0"/>
        <w:adjustRightInd w:val="0"/>
        <w:rPr>
          <w:rFonts w:ascii="Calibri" w:hAnsi="Calibri" w:cs="Calibri"/>
          <w:color w:val="1F497D"/>
        </w:rPr>
      </w:pPr>
      <w:r w:rsidRPr="00C52F37">
        <w:rPr>
          <w:rFonts w:ascii="Calibri" w:hAnsi="Calibri" w:cs="Calibri"/>
          <w:color w:val="1F497D"/>
        </w:rPr>
        <w:t>IT support services including the costs of e-mail, intranet access, internet access, help desk, use of corporate systems, software licenses, band-width, hardware replacement management and telephone infrastructure;</w:t>
      </w:r>
    </w:p>
    <w:p w:rsidR="00335031" w:rsidRPr="00335031" w:rsidRDefault="00C52F37" w:rsidP="00C52F37">
      <w:pPr>
        <w:pStyle w:val="ListParagraph"/>
        <w:numPr>
          <w:ilvl w:val="1"/>
          <w:numId w:val="1"/>
        </w:numPr>
        <w:autoSpaceDE w:val="0"/>
        <w:autoSpaceDN w:val="0"/>
        <w:adjustRightInd w:val="0"/>
        <w:rPr>
          <w:rFonts w:ascii="Calibri" w:hAnsi="Calibri" w:cs="Calibri"/>
          <w:color w:val="1F497D"/>
        </w:rPr>
      </w:pPr>
      <w:r>
        <w:rPr>
          <w:rFonts w:ascii="Calibri" w:hAnsi="Calibri" w:cs="Calibri"/>
          <w:color w:val="1F497D"/>
        </w:rPr>
        <w:t>Security services.</w:t>
      </w:r>
    </w:p>
    <w:p w:rsidR="004E2A43" w:rsidRDefault="004E2A43" w:rsidP="003A6E17">
      <w:pPr>
        <w:autoSpaceDE w:val="0"/>
        <w:autoSpaceDN w:val="0"/>
        <w:adjustRightInd w:val="0"/>
        <w:rPr>
          <w:rFonts w:ascii="Calibri" w:hAnsi="Calibri" w:cs="Calibri"/>
          <w:color w:val="1F497D"/>
        </w:rPr>
      </w:pPr>
    </w:p>
    <w:p w:rsidR="004E2A43" w:rsidRPr="00E90C87" w:rsidRDefault="004E2A43" w:rsidP="00C52F37">
      <w:pPr>
        <w:pStyle w:val="ListParagraph"/>
        <w:numPr>
          <w:ilvl w:val="0"/>
          <w:numId w:val="1"/>
        </w:numPr>
        <w:autoSpaceDE w:val="0"/>
        <w:autoSpaceDN w:val="0"/>
        <w:adjustRightInd w:val="0"/>
        <w:rPr>
          <w:rFonts w:ascii="Calibri" w:hAnsi="Calibri" w:cs="Calibri"/>
          <w:i/>
          <w:color w:val="1F497D"/>
        </w:rPr>
      </w:pPr>
      <w:r w:rsidRPr="00E90C87">
        <w:rPr>
          <w:rFonts w:ascii="Calibri" w:hAnsi="Calibri" w:cs="Calibri"/>
          <w:i/>
          <w:color w:val="1F497D"/>
        </w:rPr>
        <w:t>Which projects are subject to ICRU?</w:t>
      </w:r>
    </w:p>
    <w:p w:rsidR="004E2A43" w:rsidRDefault="004E2A43" w:rsidP="004E2A43">
      <w:pPr>
        <w:autoSpaceDE w:val="0"/>
        <w:autoSpaceDN w:val="0"/>
        <w:adjustRightInd w:val="0"/>
        <w:rPr>
          <w:rFonts w:ascii="Calibri" w:hAnsi="Calibri" w:cs="Calibri"/>
          <w:color w:val="1F497D"/>
        </w:rPr>
      </w:pPr>
      <w:r>
        <w:rPr>
          <w:rFonts w:ascii="Calibri" w:hAnsi="Calibri" w:cs="Calibri"/>
          <w:color w:val="1F497D"/>
        </w:rPr>
        <w:t>All active TF and UN projects operated by FAO are subject to ICRU.</w:t>
      </w:r>
    </w:p>
    <w:p w:rsidR="00E20E83" w:rsidRDefault="00E20E83" w:rsidP="003A6E17">
      <w:pPr>
        <w:autoSpaceDE w:val="0"/>
        <w:autoSpaceDN w:val="0"/>
        <w:adjustRightInd w:val="0"/>
        <w:rPr>
          <w:rFonts w:ascii="Calibri" w:hAnsi="Calibri" w:cs="Calibri"/>
          <w:color w:val="1F497D"/>
        </w:rPr>
      </w:pPr>
    </w:p>
    <w:p w:rsidR="003A6E17" w:rsidRPr="004773AF" w:rsidRDefault="003A6E17" w:rsidP="00C52F37">
      <w:pPr>
        <w:pStyle w:val="ListParagraph"/>
        <w:numPr>
          <w:ilvl w:val="0"/>
          <w:numId w:val="1"/>
        </w:numPr>
        <w:autoSpaceDE w:val="0"/>
        <w:autoSpaceDN w:val="0"/>
        <w:adjustRightInd w:val="0"/>
        <w:rPr>
          <w:rFonts w:ascii="Calibri" w:hAnsi="Calibri" w:cs="Calibri"/>
          <w:i/>
          <w:iCs/>
          <w:color w:val="1F497D"/>
        </w:rPr>
      </w:pPr>
      <w:r w:rsidRPr="004773AF">
        <w:rPr>
          <w:rFonts w:ascii="Calibri" w:hAnsi="Calibri" w:cs="Calibri"/>
          <w:i/>
          <w:iCs/>
          <w:color w:val="1F497D"/>
        </w:rPr>
        <w:t>How is ICRU implemented?</w:t>
      </w:r>
    </w:p>
    <w:p w:rsidR="003A6E17" w:rsidRDefault="003A6E17" w:rsidP="003A6E17">
      <w:pPr>
        <w:autoSpaceDE w:val="0"/>
        <w:autoSpaceDN w:val="0"/>
        <w:adjustRightInd w:val="0"/>
        <w:rPr>
          <w:rFonts w:ascii="Calibri" w:hAnsi="Calibri" w:cs="Calibri"/>
          <w:color w:val="1F497D"/>
        </w:rPr>
      </w:pPr>
      <w:r>
        <w:rPr>
          <w:rFonts w:ascii="Calibri" w:hAnsi="Calibri" w:cs="Calibri"/>
          <w:color w:val="1F497D"/>
        </w:rPr>
        <w:t>The ICRU is being</w:t>
      </w:r>
      <w:r w:rsidR="00505C61">
        <w:rPr>
          <w:rFonts w:ascii="Calibri" w:hAnsi="Calibri" w:cs="Calibri"/>
          <w:color w:val="1F497D"/>
        </w:rPr>
        <w:t xml:space="preserve"> implemented </w:t>
      </w:r>
      <w:r>
        <w:rPr>
          <w:rFonts w:ascii="Calibri" w:hAnsi="Calibri" w:cs="Calibri"/>
          <w:color w:val="1F497D"/>
        </w:rPr>
        <w:t>through a monthly uplift of project staff costs and project consultant costs for a</w:t>
      </w:r>
      <w:r w:rsidR="005471B2">
        <w:rPr>
          <w:rFonts w:ascii="Calibri" w:hAnsi="Calibri" w:cs="Calibri"/>
          <w:color w:val="1F497D"/>
        </w:rPr>
        <w:t>ctive projects operated by FAO H</w:t>
      </w:r>
      <w:r>
        <w:rPr>
          <w:rFonts w:ascii="Calibri" w:hAnsi="Calibri" w:cs="Calibri"/>
          <w:color w:val="1F497D"/>
        </w:rPr>
        <w:t>eadquarters</w:t>
      </w:r>
      <w:r w:rsidR="00E20E83">
        <w:rPr>
          <w:rFonts w:ascii="Calibri" w:hAnsi="Calibri" w:cs="Calibri"/>
          <w:color w:val="1F497D"/>
        </w:rPr>
        <w:t xml:space="preserve">, as well as </w:t>
      </w:r>
      <w:r w:rsidR="005471B2">
        <w:rPr>
          <w:rFonts w:ascii="Calibri" w:hAnsi="Calibri" w:cs="Calibri"/>
          <w:color w:val="1F497D"/>
        </w:rPr>
        <w:t>Decentralized</w:t>
      </w:r>
      <w:r w:rsidR="00E20E83">
        <w:rPr>
          <w:rFonts w:ascii="Calibri" w:hAnsi="Calibri" w:cs="Calibri"/>
          <w:color w:val="1F497D"/>
        </w:rPr>
        <w:t xml:space="preserve"> and Project</w:t>
      </w:r>
      <w:r w:rsidR="005471B2">
        <w:rPr>
          <w:rFonts w:ascii="Calibri" w:hAnsi="Calibri" w:cs="Calibri"/>
          <w:color w:val="1F497D"/>
        </w:rPr>
        <w:t xml:space="preserve"> Offices</w:t>
      </w:r>
      <w:r>
        <w:rPr>
          <w:rFonts w:ascii="Calibri" w:hAnsi="Calibri" w:cs="Calibri"/>
          <w:color w:val="1F497D"/>
        </w:rPr>
        <w:t xml:space="preserve">, and is based on monthly expenditures recorded in all child accounts under parent </w:t>
      </w:r>
      <w:r w:rsidR="005471B2">
        <w:rPr>
          <w:rFonts w:ascii="Calibri" w:hAnsi="Calibri" w:cs="Calibri"/>
          <w:color w:val="1F497D"/>
        </w:rPr>
        <w:t xml:space="preserve">personnel </w:t>
      </w:r>
      <w:r>
        <w:rPr>
          <w:rFonts w:ascii="Calibri" w:hAnsi="Calibri" w:cs="Calibri"/>
          <w:color w:val="1F497D"/>
        </w:rPr>
        <w:t xml:space="preserve">accounts 5011, 5012, and 5013 (except for child accounts 5155, 5355, and 5555, being the ICRU accounts - Professional, GS and Consultants).   By its nature the ICRU is only applied to projects with staff and consultants, and it does not affect the current PSC ceiling rates and categories.  </w:t>
      </w:r>
    </w:p>
    <w:p w:rsidR="003A6E17" w:rsidRDefault="003A6E17" w:rsidP="003A6E17">
      <w:pPr>
        <w:autoSpaceDE w:val="0"/>
        <w:autoSpaceDN w:val="0"/>
        <w:adjustRightInd w:val="0"/>
        <w:rPr>
          <w:rFonts w:ascii="Calibri" w:hAnsi="Calibri" w:cs="Calibri"/>
          <w:color w:val="1F497D"/>
        </w:rPr>
      </w:pPr>
    </w:p>
    <w:p w:rsidR="003A6E17" w:rsidRPr="005471B2" w:rsidRDefault="003A6E17" w:rsidP="00C52F37">
      <w:pPr>
        <w:pStyle w:val="ListParagraph"/>
        <w:numPr>
          <w:ilvl w:val="0"/>
          <w:numId w:val="1"/>
        </w:numPr>
        <w:autoSpaceDE w:val="0"/>
        <w:autoSpaceDN w:val="0"/>
        <w:adjustRightInd w:val="0"/>
        <w:rPr>
          <w:rFonts w:ascii="Calibri" w:hAnsi="Calibri" w:cs="Calibri"/>
          <w:i/>
          <w:iCs/>
          <w:color w:val="1F497D"/>
        </w:rPr>
      </w:pPr>
      <w:r w:rsidRPr="005471B2">
        <w:rPr>
          <w:rFonts w:ascii="Calibri" w:hAnsi="Calibri" w:cs="Calibri"/>
          <w:i/>
          <w:iCs/>
          <w:color w:val="1F497D"/>
        </w:rPr>
        <w:t>How much is the ICRU charge?</w:t>
      </w:r>
    </w:p>
    <w:p w:rsidR="00E71703" w:rsidRDefault="003A6E17" w:rsidP="00E71703">
      <w:pPr>
        <w:autoSpaceDE w:val="0"/>
        <w:autoSpaceDN w:val="0"/>
        <w:adjustRightInd w:val="0"/>
        <w:rPr>
          <w:rFonts w:ascii="Calibri" w:hAnsi="Calibri" w:cs="Calibri"/>
          <w:color w:val="1F497D"/>
        </w:rPr>
      </w:pPr>
      <w:r>
        <w:rPr>
          <w:rFonts w:ascii="Calibri" w:hAnsi="Calibri" w:cs="Calibri"/>
          <w:color w:val="1F497D"/>
        </w:rPr>
        <w:t xml:space="preserve">The ICRU is currently applied as a percentage of monthly expenditures recorded within the "Salaries" </w:t>
      </w:r>
      <w:r w:rsidR="00112311">
        <w:rPr>
          <w:rFonts w:ascii="Calibri" w:hAnsi="Calibri" w:cs="Calibri"/>
          <w:color w:val="1F497D"/>
        </w:rPr>
        <w:t>and “Consultants” budget lines</w:t>
      </w:r>
      <w:r w:rsidR="00E20E83">
        <w:rPr>
          <w:rFonts w:ascii="Calibri" w:hAnsi="Calibri" w:cs="Calibri"/>
          <w:color w:val="1F497D"/>
        </w:rPr>
        <w:t>,</w:t>
      </w:r>
      <w:r w:rsidR="00C52F37">
        <w:rPr>
          <w:rFonts w:ascii="Calibri" w:hAnsi="Calibri" w:cs="Calibri"/>
          <w:color w:val="1F497D"/>
        </w:rPr>
        <w:t xml:space="preserve"> mentioned in #4</w:t>
      </w:r>
      <w:r w:rsidR="00E20E83">
        <w:rPr>
          <w:rFonts w:ascii="Calibri" w:hAnsi="Calibri" w:cs="Calibri"/>
          <w:color w:val="1F497D"/>
        </w:rPr>
        <w:t>,</w:t>
      </w:r>
      <w:r w:rsidR="00E71703">
        <w:rPr>
          <w:rFonts w:ascii="Calibri" w:hAnsi="Calibri" w:cs="Calibri"/>
          <w:color w:val="1F497D"/>
        </w:rPr>
        <w:t xml:space="preserve"> </w:t>
      </w:r>
      <w:r w:rsidRPr="00E71703">
        <w:rPr>
          <w:rFonts w:ascii="Calibri" w:hAnsi="Calibri" w:cs="Calibri"/>
          <w:color w:val="1F497D"/>
        </w:rPr>
        <w:t>which are s</w:t>
      </w:r>
      <w:r w:rsidR="00E71703">
        <w:rPr>
          <w:rFonts w:ascii="Calibri" w:hAnsi="Calibri" w:cs="Calibri"/>
          <w:color w:val="1F497D"/>
        </w:rPr>
        <w:t>ubject to:</w:t>
      </w:r>
    </w:p>
    <w:p w:rsidR="00E71703" w:rsidRDefault="00E71703" w:rsidP="00C52F37">
      <w:pPr>
        <w:pStyle w:val="ListParagraph"/>
        <w:numPr>
          <w:ilvl w:val="1"/>
          <w:numId w:val="1"/>
        </w:numPr>
        <w:autoSpaceDE w:val="0"/>
        <w:autoSpaceDN w:val="0"/>
        <w:adjustRightInd w:val="0"/>
        <w:rPr>
          <w:rFonts w:ascii="Calibri" w:hAnsi="Calibri" w:cs="Calibri"/>
          <w:color w:val="1F497D"/>
        </w:rPr>
      </w:pPr>
      <w:r>
        <w:rPr>
          <w:rFonts w:ascii="Calibri" w:hAnsi="Calibri" w:cs="Calibri"/>
          <w:color w:val="1F497D"/>
        </w:rPr>
        <w:t>HQ Staff and Consultants</w:t>
      </w:r>
    </w:p>
    <w:p w:rsidR="00E71703" w:rsidRDefault="003939A0" w:rsidP="00C52F37">
      <w:pPr>
        <w:pStyle w:val="ListParagraph"/>
        <w:numPr>
          <w:ilvl w:val="2"/>
          <w:numId w:val="1"/>
        </w:numPr>
        <w:autoSpaceDE w:val="0"/>
        <w:autoSpaceDN w:val="0"/>
        <w:adjustRightInd w:val="0"/>
        <w:rPr>
          <w:rFonts w:ascii="Calibri" w:hAnsi="Calibri" w:cs="Calibri"/>
          <w:color w:val="1F497D"/>
        </w:rPr>
      </w:pPr>
      <w:r>
        <w:rPr>
          <w:rFonts w:ascii="Calibri" w:hAnsi="Calibri" w:cs="Calibri"/>
          <w:color w:val="1F497D"/>
        </w:rPr>
        <w:t xml:space="preserve">5% - HQ </w:t>
      </w:r>
      <w:r w:rsidR="003A6E17" w:rsidRPr="00E71703">
        <w:rPr>
          <w:rFonts w:ascii="Calibri" w:hAnsi="Calibri" w:cs="Calibri"/>
          <w:color w:val="1F497D"/>
        </w:rPr>
        <w:t xml:space="preserve">Information Technology support services, </w:t>
      </w:r>
    </w:p>
    <w:p w:rsidR="00E71703" w:rsidRDefault="003A6E17" w:rsidP="00C52F37">
      <w:pPr>
        <w:pStyle w:val="ListParagraph"/>
        <w:numPr>
          <w:ilvl w:val="2"/>
          <w:numId w:val="1"/>
        </w:numPr>
        <w:autoSpaceDE w:val="0"/>
        <w:autoSpaceDN w:val="0"/>
        <w:adjustRightInd w:val="0"/>
        <w:rPr>
          <w:rFonts w:ascii="Calibri" w:hAnsi="Calibri" w:cs="Calibri"/>
          <w:color w:val="1F497D"/>
        </w:rPr>
      </w:pPr>
      <w:r w:rsidRPr="00E71703">
        <w:rPr>
          <w:rFonts w:ascii="Calibri" w:hAnsi="Calibri" w:cs="Calibri"/>
          <w:color w:val="1F497D"/>
        </w:rPr>
        <w:t xml:space="preserve">1.5% </w:t>
      </w:r>
      <w:r w:rsidR="003939A0">
        <w:rPr>
          <w:rFonts w:ascii="Calibri" w:hAnsi="Calibri" w:cs="Calibri"/>
          <w:color w:val="1F497D"/>
        </w:rPr>
        <w:t>- HQ S</w:t>
      </w:r>
      <w:r w:rsidRPr="00E71703">
        <w:rPr>
          <w:rFonts w:ascii="Calibri" w:hAnsi="Calibri" w:cs="Calibri"/>
          <w:color w:val="1F497D"/>
        </w:rPr>
        <w:t>ecurity services</w:t>
      </w:r>
      <w:r w:rsidR="00E71703">
        <w:rPr>
          <w:rFonts w:ascii="Calibri" w:hAnsi="Calibri" w:cs="Calibri"/>
          <w:color w:val="1F497D"/>
        </w:rPr>
        <w:t>,</w:t>
      </w:r>
      <w:r w:rsidRPr="00E71703">
        <w:rPr>
          <w:rFonts w:ascii="Calibri" w:hAnsi="Calibri" w:cs="Calibri"/>
          <w:color w:val="1F497D"/>
        </w:rPr>
        <w:t xml:space="preserve"> and </w:t>
      </w:r>
    </w:p>
    <w:p w:rsidR="003A6E17" w:rsidRDefault="003939A0" w:rsidP="00C52F37">
      <w:pPr>
        <w:pStyle w:val="ListParagraph"/>
        <w:numPr>
          <w:ilvl w:val="2"/>
          <w:numId w:val="1"/>
        </w:numPr>
        <w:autoSpaceDE w:val="0"/>
        <w:autoSpaceDN w:val="0"/>
        <w:adjustRightInd w:val="0"/>
        <w:rPr>
          <w:rFonts w:ascii="Calibri" w:hAnsi="Calibri" w:cs="Calibri"/>
          <w:color w:val="1F497D"/>
        </w:rPr>
      </w:pPr>
      <w:r>
        <w:rPr>
          <w:rFonts w:ascii="Calibri" w:hAnsi="Calibri" w:cs="Calibri"/>
          <w:color w:val="1F497D"/>
        </w:rPr>
        <w:t xml:space="preserve">1.5% - HQ </w:t>
      </w:r>
      <w:r w:rsidR="003A6E17" w:rsidRPr="00E71703">
        <w:rPr>
          <w:rFonts w:ascii="Calibri" w:hAnsi="Calibri" w:cs="Calibri"/>
          <w:color w:val="1F497D"/>
        </w:rPr>
        <w:t xml:space="preserve">Office </w:t>
      </w:r>
      <w:r>
        <w:rPr>
          <w:rFonts w:ascii="Calibri" w:hAnsi="Calibri" w:cs="Calibri"/>
          <w:color w:val="1F497D"/>
        </w:rPr>
        <w:t>space occupancy, i.e. electricity, gas, water, etc.</w:t>
      </w:r>
      <w:r w:rsidR="003A6E17" w:rsidRPr="00E71703">
        <w:rPr>
          <w:rFonts w:ascii="Calibri" w:hAnsi="Calibri" w:cs="Calibri"/>
          <w:color w:val="1F497D"/>
        </w:rPr>
        <w:t xml:space="preserve">  Please note that the cost of headquarters office occupancy has been charged to projects operated by FAO headquarters since 2008, and is now brought under the ICRU. </w:t>
      </w:r>
    </w:p>
    <w:p w:rsidR="00505C61" w:rsidRDefault="00505C61" w:rsidP="00505C61">
      <w:pPr>
        <w:pStyle w:val="ListParagraph"/>
        <w:autoSpaceDE w:val="0"/>
        <w:autoSpaceDN w:val="0"/>
        <w:adjustRightInd w:val="0"/>
        <w:ind w:left="1080"/>
        <w:rPr>
          <w:rFonts w:ascii="Calibri" w:hAnsi="Calibri" w:cs="Calibri"/>
          <w:color w:val="1F497D"/>
        </w:rPr>
      </w:pPr>
    </w:p>
    <w:p w:rsidR="003939A0" w:rsidRDefault="00E71703" w:rsidP="00C52F37">
      <w:pPr>
        <w:pStyle w:val="ListParagraph"/>
        <w:numPr>
          <w:ilvl w:val="1"/>
          <w:numId w:val="1"/>
        </w:numPr>
        <w:autoSpaceDE w:val="0"/>
        <w:autoSpaceDN w:val="0"/>
        <w:adjustRightInd w:val="0"/>
        <w:rPr>
          <w:rFonts w:ascii="Calibri" w:hAnsi="Calibri" w:cs="Calibri"/>
          <w:color w:val="1F497D"/>
        </w:rPr>
      </w:pPr>
      <w:r>
        <w:rPr>
          <w:rFonts w:ascii="Calibri" w:hAnsi="Calibri" w:cs="Calibri"/>
          <w:color w:val="1F497D"/>
        </w:rPr>
        <w:t>Field Staff and Consultants</w:t>
      </w:r>
    </w:p>
    <w:p w:rsidR="003939A0" w:rsidRDefault="003939A0" w:rsidP="00C52F37">
      <w:pPr>
        <w:pStyle w:val="ListParagraph"/>
        <w:numPr>
          <w:ilvl w:val="2"/>
          <w:numId w:val="1"/>
        </w:numPr>
        <w:autoSpaceDE w:val="0"/>
        <w:autoSpaceDN w:val="0"/>
        <w:adjustRightInd w:val="0"/>
        <w:rPr>
          <w:rFonts w:ascii="Calibri" w:hAnsi="Calibri" w:cs="Calibri"/>
          <w:color w:val="1F497D"/>
        </w:rPr>
      </w:pPr>
      <w:r w:rsidRPr="003939A0">
        <w:rPr>
          <w:rFonts w:ascii="Calibri" w:hAnsi="Calibri" w:cs="Calibri"/>
          <w:color w:val="1F497D"/>
        </w:rPr>
        <w:t xml:space="preserve">1.4% </w:t>
      </w:r>
      <w:r>
        <w:rPr>
          <w:rFonts w:ascii="Calibri" w:hAnsi="Calibri" w:cs="Calibri"/>
          <w:color w:val="1F497D"/>
        </w:rPr>
        <w:t xml:space="preserve">- Field </w:t>
      </w:r>
      <w:r w:rsidRPr="003939A0">
        <w:rPr>
          <w:rFonts w:ascii="Calibri" w:hAnsi="Calibri" w:cs="Calibri"/>
          <w:color w:val="1F497D"/>
        </w:rPr>
        <w:t xml:space="preserve">IT </w:t>
      </w:r>
      <w:r>
        <w:rPr>
          <w:rFonts w:ascii="Calibri" w:hAnsi="Calibri" w:cs="Calibri"/>
          <w:color w:val="1F497D"/>
        </w:rPr>
        <w:t>support services</w:t>
      </w:r>
    </w:p>
    <w:p w:rsidR="003939A0" w:rsidRPr="003939A0" w:rsidRDefault="003939A0" w:rsidP="00C52F37">
      <w:pPr>
        <w:pStyle w:val="ListParagraph"/>
        <w:numPr>
          <w:ilvl w:val="2"/>
          <w:numId w:val="1"/>
        </w:numPr>
        <w:autoSpaceDE w:val="0"/>
        <w:autoSpaceDN w:val="0"/>
        <w:adjustRightInd w:val="0"/>
        <w:rPr>
          <w:rFonts w:ascii="Calibri" w:hAnsi="Calibri" w:cs="Calibri"/>
          <w:color w:val="1F497D"/>
        </w:rPr>
      </w:pPr>
      <w:r>
        <w:rPr>
          <w:rFonts w:ascii="Calibri" w:hAnsi="Calibri" w:cs="Calibri"/>
          <w:color w:val="1F497D"/>
        </w:rPr>
        <w:t>0 - 4.8% - Field Security services</w:t>
      </w:r>
    </w:p>
    <w:p w:rsidR="003939A0" w:rsidRPr="003939A0" w:rsidRDefault="003939A0" w:rsidP="00C52F37">
      <w:pPr>
        <w:pStyle w:val="ListParagraph"/>
        <w:numPr>
          <w:ilvl w:val="3"/>
          <w:numId w:val="1"/>
        </w:numPr>
        <w:autoSpaceDE w:val="0"/>
        <w:autoSpaceDN w:val="0"/>
        <w:adjustRightInd w:val="0"/>
        <w:rPr>
          <w:rFonts w:ascii="Calibri" w:hAnsi="Calibri" w:cs="Calibri"/>
          <w:color w:val="1F497D"/>
        </w:rPr>
      </w:pPr>
      <w:r w:rsidRPr="003939A0">
        <w:rPr>
          <w:rFonts w:ascii="Calibri" w:hAnsi="Calibri" w:cs="Calibri"/>
          <w:color w:val="1F497D"/>
        </w:rPr>
        <w:lastRenderedPageBreak/>
        <w:t xml:space="preserve">4.8% </w:t>
      </w:r>
      <w:r>
        <w:rPr>
          <w:rFonts w:ascii="Calibri" w:hAnsi="Calibri" w:cs="Calibri"/>
          <w:color w:val="1F497D"/>
        </w:rPr>
        <w:t xml:space="preserve">- </w:t>
      </w:r>
      <w:r w:rsidRPr="003939A0">
        <w:rPr>
          <w:rFonts w:ascii="Calibri" w:hAnsi="Calibri" w:cs="Calibri"/>
          <w:color w:val="1F497D"/>
        </w:rPr>
        <w:t xml:space="preserve">Africa Field Security </w:t>
      </w:r>
    </w:p>
    <w:p w:rsidR="003939A0" w:rsidRPr="003939A0" w:rsidRDefault="003939A0" w:rsidP="00C52F37">
      <w:pPr>
        <w:pStyle w:val="ListParagraph"/>
        <w:numPr>
          <w:ilvl w:val="3"/>
          <w:numId w:val="1"/>
        </w:numPr>
        <w:autoSpaceDE w:val="0"/>
        <w:autoSpaceDN w:val="0"/>
        <w:adjustRightInd w:val="0"/>
        <w:rPr>
          <w:rFonts w:ascii="Calibri" w:hAnsi="Calibri" w:cs="Calibri"/>
          <w:color w:val="1F497D"/>
        </w:rPr>
      </w:pPr>
      <w:r w:rsidRPr="003939A0">
        <w:rPr>
          <w:rFonts w:ascii="Calibri" w:hAnsi="Calibri" w:cs="Calibri"/>
          <w:color w:val="1F497D"/>
        </w:rPr>
        <w:t xml:space="preserve">2.1% </w:t>
      </w:r>
      <w:r>
        <w:rPr>
          <w:rFonts w:ascii="Calibri" w:hAnsi="Calibri" w:cs="Calibri"/>
          <w:color w:val="1F497D"/>
        </w:rPr>
        <w:t xml:space="preserve">- </w:t>
      </w:r>
      <w:r w:rsidRPr="003939A0">
        <w:rPr>
          <w:rFonts w:ascii="Calibri" w:hAnsi="Calibri" w:cs="Calibri"/>
          <w:color w:val="1F497D"/>
        </w:rPr>
        <w:t xml:space="preserve">Asia Pacific Security </w:t>
      </w:r>
    </w:p>
    <w:p w:rsidR="003939A0" w:rsidRPr="003939A0" w:rsidRDefault="003939A0" w:rsidP="00C52F37">
      <w:pPr>
        <w:pStyle w:val="ListParagraph"/>
        <w:numPr>
          <w:ilvl w:val="3"/>
          <w:numId w:val="1"/>
        </w:numPr>
        <w:autoSpaceDE w:val="0"/>
        <w:autoSpaceDN w:val="0"/>
        <w:adjustRightInd w:val="0"/>
        <w:rPr>
          <w:rFonts w:ascii="Calibri" w:hAnsi="Calibri" w:cs="Calibri"/>
          <w:color w:val="1F497D"/>
        </w:rPr>
      </w:pPr>
      <w:r>
        <w:rPr>
          <w:rFonts w:ascii="Calibri" w:hAnsi="Calibri" w:cs="Calibri"/>
          <w:color w:val="1F497D"/>
        </w:rPr>
        <w:t xml:space="preserve">1.2% - </w:t>
      </w:r>
      <w:r w:rsidRPr="003939A0">
        <w:rPr>
          <w:rFonts w:ascii="Calibri" w:hAnsi="Calibri" w:cs="Calibri"/>
          <w:color w:val="1F497D"/>
        </w:rPr>
        <w:t xml:space="preserve">EU Security </w:t>
      </w:r>
    </w:p>
    <w:p w:rsidR="003939A0" w:rsidRPr="003939A0" w:rsidRDefault="003939A0" w:rsidP="00C52F37">
      <w:pPr>
        <w:pStyle w:val="ListParagraph"/>
        <w:numPr>
          <w:ilvl w:val="3"/>
          <w:numId w:val="1"/>
        </w:numPr>
        <w:autoSpaceDE w:val="0"/>
        <w:autoSpaceDN w:val="0"/>
        <w:adjustRightInd w:val="0"/>
        <w:rPr>
          <w:rFonts w:ascii="Calibri" w:hAnsi="Calibri" w:cs="Calibri"/>
          <w:color w:val="1F497D"/>
        </w:rPr>
      </w:pPr>
      <w:r>
        <w:rPr>
          <w:rFonts w:ascii="Calibri" w:hAnsi="Calibri" w:cs="Calibri"/>
          <w:color w:val="1F497D"/>
        </w:rPr>
        <w:t xml:space="preserve">1.5% - </w:t>
      </w:r>
      <w:r w:rsidRPr="003939A0">
        <w:rPr>
          <w:rFonts w:ascii="Calibri" w:hAnsi="Calibri" w:cs="Calibri"/>
          <w:color w:val="1F497D"/>
        </w:rPr>
        <w:t>Inter-regional Global Security</w:t>
      </w:r>
    </w:p>
    <w:p w:rsidR="003939A0" w:rsidRPr="003939A0" w:rsidRDefault="003939A0" w:rsidP="00C52F37">
      <w:pPr>
        <w:pStyle w:val="ListParagraph"/>
        <w:numPr>
          <w:ilvl w:val="3"/>
          <w:numId w:val="1"/>
        </w:numPr>
        <w:autoSpaceDE w:val="0"/>
        <w:autoSpaceDN w:val="0"/>
        <w:adjustRightInd w:val="0"/>
        <w:rPr>
          <w:rFonts w:ascii="Calibri" w:hAnsi="Calibri" w:cs="Calibri"/>
          <w:color w:val="1F497D"/>
        </w:rPr>
      </w:pPr>
      <w:r w:rsidRPr="003939A0">
        <w:rPr>
          <w:rFonts w:ascii="Calibri" w:hAnsi="Calibri" w:cs="Calibri"/>
          <w:color w:val="1F497D"/>
        </w:rPr>
        <w:t xml:space="preserve">2.4% </w:t>
      </w:r>
      <w:r>
        <w:rPr>
          <w:rFonts w:ascii="Calibri" w:hAnsi="Calibri" w:cs="Calibri"/>
          <w:color w:val="1F497D"/>
        </w:rPr>
        <w:t xml:space="preserve">- </w:t>
      </w:r>
      <w:r w:rsidRPr="003939A0">
        <w:rPr>
          <w:rFonts w:ascii="Calibri" w:hAnsi="Calibri" w:cs="Calibri"/>
          <w:color w:val="1F497D"/>
        </w:rPr>
        <w:t xml:space="preserve">Latin America Security </w:t>
      </w:r>
    </w:p>
    <w:p w:rsidR="003939A0" w:rsidRPr="003939A0" w:rsidRDefault="003939A0" w:rsidP="00C52F37">
      <w:pPr>
        <w:pStyle w:val="ListParagraph"/>
        <w:numPr>
          <w:ilvl w:val="3"/>
          <w:numId w:val="1"/>
        </w:numPr>
        <w:autoSpaceDE w:val="0"/>
        <w:autoSpaceDN w:val="0"/>
        <w:adjustRightInd w:val="0"/>
        <w:rPr>
          <w:rFonts w:ascii="Calibri" w:hAnsi="Calibri" w:cs="Calibri"/>
          <w:color w:val="1F497D"/>
        </w:rPr>
      </w:pPr>
      <w:r w:rsidRPr="003939A0">
        <w:rPr>
          <w:rFonts w:ascii="Calibri" w:hAnsi="Calibri" w:cs="Calibri"/>
          <w:color w:val="1F497D"/>
        </w:rPr>
        <w:t xml:space="preserve">3.4% </w:t>
      </w:r>
      <w:r>
        <w:rPr>
          <w:rFonts w:ascii="Calibri" w:hAnsi="Calibri" w:cs="Calibri"/>
          <w:color w:val="1F497D"/>
        </w:rPr>
        <w:t xml:space="preserve">- </w:t>
      </w:r>
      <w:r w:rsidRPr="003939A0">
        <w:rPr>
          <w:rFonts w:ascii="Calibri" w:hAnsi="Calibri" w:cs="Calibri"/>
          <w:color w:val="1F497D"/>
        </w:rPr>
        <w:t xml:space="preserve">Near East Security </w:t>
      </w:r>
    </w:p>
    <w:p w:rsidR="003939A0" w:rsidRDefault="003939A0" w:rsidP="00C52F37">
      <w:pPr>
        <w:pStyle w:val="ListParagraph"/>
        <w:numPr>
          <w:ilvl w:val="3"/>
          <w:numId w:val="1"/>
        </w:numPr>
        <w:autoSpaceDE w:val="0"/>
        <w:autoSpaceDN w:val="0"/>
        <w:adjustRightInd w:val="0"/>
        <w:rPr>
          <w:rFonts w:ascii="Calibri" w:hAnsi="Calibri" w:cs="Calibri"/>
          <w:color w:val="1F497D"/>
        </w:rPr>
      </w:pPr>
      <w:r w:rsidRPr="003939A0">
        <w:rPr>
          <w:rFonts w:ascii="Calibri" w:hAnsi="Calibri" w:cs="Calibri"/>
          <w:color w:val="1F497D"/>
        </w:rPr>
        <w:t xml:space="preserve">0% </w:t>
      </w:r>
      <w:r>
        <w:rPr>
          <w:rFonts w:ascii="Calibri" w:hAnsi="Calibri" w:cs="Calibri"/>
          <w:color w:val="1F497D"/>
        </w:rPr>
        <w:t xml:space="preserve">- </w:t>
      </w:r>
      <w:r w:rsidRPr="003939A0">
        <w:rPr>
          <w:rFonts w:ascii="Calibri" w:hAnsi="Calibri" w:cs="Calibri"/>
          <w:color w:val="1F497D"/>
        </w:rPr>
        <w:t>North America Security</w:t>
      </w:r>
    </w:p>
    <w:p w:rsidR="00316AE7" w:rsidRDefault="00316AE7" w:rsidP="00316AE7">
      <w:pPr>
        <w:pStyle w:val="ListParagraph"/>
        <w:autoSpaceDE w:val="0"/>
        <w:autoSpaceDN w:val="0"/>
        <w:adjustRightInd w:val="0"/>
        <w:ind w:left="1440"/>
        <w:rPr>
          <w:rFonts w:ascii="Calibri" w:hAnsi="Calibri" w:cs="Calibri"/>
          <w:color w:val="1F497D"/>
        </w:rPr>
      </w:pPr>
    </w:p>
    <w:p w:rsidR="00E20E83" w:rsidRDefault="00E20E83" w:rsidP="00C52F37">
      <w:pPr>
        <w:pStyle w:val="ListParagraph"/>
        <w:numPr>
          <w:ilvl w:val="0"/>
          <w:numId w:val="1"/>
        </w:numPr>
        <w:autoSpaceDE w:val="0"/>
        <w:autoSpaceDN w:val="0"/>
        <w:adjustRightInd w:val="0"/>
        <w:rPr>
          <w:rFonts w:ascii="Calibri" w:hAnsi="Calibri" w:cs="Calibri"/>
          <w:i/>
          <w:color w:val="1F497D"/>
        </w:rPr>
      </w:pPr>
      <w:r>
        <w:rPr>
          <w:rFonts w:ascii="Calibri" w:hAnsi="Calibri" w:cs="Calibri"/>
          <w:i/>
          <w:color w:val="1F497D"/>
        </w:rPr>
        <w:t>How were ICRU rates calculated?</w:t>
      </w:r>
    </w:p>
    <w:p w:rsidR="00E20E83" w:rsidRPr="00E20E83" w:rsidRDefault="00E20E83" w:rsidP="00C52F37">
      <w:pPr>
        <w:pStyle w:val="ListParagraph"/>
        <w:numPr>
          <w:ilvl w:val="1"/>
          <w:numId w:val="1"/>
        </w:numPr>
        <w:autoSpaceDE w:val="0"/>
        <w:autoSpaceDN w:val="0"/>
        <w:adjustRightInd w:val="0"/>
        <w:rPr>
          <w:rFonts w:ascii="Calibri" w:hAnsi="Calibri" w:cs="Calibri"/>
          <w:i/>
          <w:color w:val="1F497D"/>
        </w:rPr>
      </w:pPr>
      <w:r>
        <w:rPr>
          <w:rFonts w:ascii="Calibri" w:hAnsi="Calibri"/>
          <w:color w:val="1F497D"/>
        </w:rPr>
        <w:t xml:space="preserve">Document FC 140/8, </w:t>
      </w:r>
      <w:r>
        <w:rPr>
          <w:rFonts w:ascii="Calibri" w:hAnsi="Calibri"/>
          <w:i/>
          <w:iCs/>
          <w:color w:val="1F497D"/>
        </w:rPr>
        <w:t>Measures to Improve Implementation of the Organization’s Support Cost Policy</w:t>
      </w:r>
      <w:r>
        <w:rPr>
          <w:rFonts w:ascii="Calibri" w:hAnsi="Calibri"/>
          <w:i/>
          <w:iCs/>
        </w:rPr>
        <w:t xml:space="preserve"> </w:t>
      </w:r>
      <w:hyperlink r:id="rId7" w:history="1">
        <w:r>
          <w:rPr>
            <w:rStyle w:val="Hyperlink"/>
            <w:rFonts w:ascii="Calibri" w:hAnsi="Calibri"/>
          </w:rPr>
          <w:t>http://www.fao.org/docrep/meeting/023/mc205e.pdf</w:t>
        </w:r>
      </w:hyperlink>
    </w:p>
    <w:p w:rsidR="00E20E83" w:rsidRDefault="00E20E83" w:rsidP="00C52F37">
      <w:pPr>
        <w:pStyle w:val="ListParagraph"/>
        <w:numPr>
          <w:ilvl w:val="2"/>
          <w:numId w:val="1"/>
        </w:numPr>
        <w:autoSpaceDE w:val="0"/>
        <w:autoSpaceDN w:val="0"/>
        <w:contextualSpacing w:val="0"/>
        <w:rPr>
          <w:rFonts w:ascii="Calibri" w:hAnsi="Calibri"/>
          <w:color w:val="1F497D"/>
        </w:rPr>
      </w:pPr>
      <w:r>
        <w:rPr>
          <w:rFonts w:ascii="Calibri" w:hAnsi="Calibri"/>
          <w:color w:val="1F497D"/>
        </w:rPr>
        <w:t>Annex III provides a table with the relative service (IT, Security and Office occupancy), calculation of charge, and charging methodology</w:t>
      </w:r>
    </w:p>
    <w:p w:rsidR="00E20E83" w:rsidRDefault="00E20E83" w:rsidP="00C52F37">
      <w:pPr>
        <w:pStyle w:val="ListParagraph"/>
        <w:numPr>
          <w:ilvl w:val="2"/>
          <w:numId w:val="1"/>
        </w:numPr>
        <w:autoSpaceDE w:val="0"/>
        <w:autoSpaceDN w:val="0"/>
        <w:contextualSpacing w:val="0"/>
        <w:rPr>
          <w:rFonts w:ascii="Calibri" w:hAnsi="Calibri"/>
          <w:color w:val="1F497D"/>
        </w:rPr>
      </w:pPr>
      <w:r>
        <w:rPr>
          <w:rFonts w:ascii="Calibri" w:hAnsi="Calibri"/>
          <w:color w:val="1F497D"/>
        </w:rPr>
        <w:t>Para 18 c) and d) confirms that starting from biennium 2014-15, Field personnel would also be subject to IT and Security ICRU</w:t>
      </w:r>
    </w:p>
    <w:p w:rsidR="00E20E83" w:rsidRPr="00E20E83" w:rsidRDefault="00E20E83" w:rsidP="00E20E83">
      <w:pPr>
        <w:autoSpaceDE w:val="0"/>
        <w:autoSpaceDN w:val="0"/>
        <w:rPr>
          <w:rFonts w:ascii="Calibri" w:hAnsi="Calibri"/>
          <w:color w:val="1F497D"/>
        </w:rPr>
      </w:pPr>
    </w:p>
    <w:p w:rsidR="00316AE7" w:rsidRPr="00316AE7" w:rsidRDefault="00E20E83" w:rsidP="00C52F37">
      <w:pPr>
        <w:pStyle w:val="ListParagraph"/>
        <w:numPr>
          <w:ilvl w:val="0"/>
          <w:numId w:val="1"/>
        </w:numPr>
        <w:autoSpaceDE w:val="0"/>
        <w:autoSpaceDN w:val="0"/>
        <w:adjustRightInd w:val="0"/>
        <w:rPr>
          <w:rFonts w:ascii="Calibri" w:hAnsi="Calibri" w:cs="Calibri"/>
          <w:i/>
          <w:color w:val="1F497D"/>
        </w:rPr>
      </w:pPr>
      <w:r>
        <w:rPr>
          <w:rFonts w:ascii="Calibri" w:hAnsi="Calibri" w:cs="Calibri"/>
          <w:i/>
          <w:color w:val="1F497D"/>
        </w:rPr>
        <w:t>When and h</w:t>
      </w:r>
      <w:r w:rsidR="00316AE7" w:rsidRPr="00316AE7">
        <w:rPr>
          <w:rFonts w:ascii="Calibri" w:hAnsi="Calibri" w:cs="Calibri"/>
          <w:i/>
          <w:color w:val="1F497D"/>
        </w:rPr>
        <w:t xml:space="preserve">ow </w:t>
      </w:r>
      <w:r>
        <w:rPr>
          <w:rFonts w:ascii="Calibri" w:hAnsi="Calibri" w:cs="Calibri"/>
          <w:i/>
          <w:color w:val="1F497D"/>
        </w:rPr>
        <w:t xml:space="preserve">frequently will </w:t>
      </w:r>
      <w:r w:rsidR="00316AE7" w:rsidRPr="00316AE7">
        <w:rPr>
          <w:rFonts w:ascii="Calibri" w:hAnsi="Calibri" w:cs="Calibri"/>
          <w:i/>
          <w:color w:val="1F497D"/>
        </w:rPr>
        <w:t xml:space="preserve">ICRU rates </w:t>
      </w:r>
      <w:r>
        <w:rPr>
          <w:rFonts w:ascii="Calibri" w:hAnsi="Calibri" w:cs="Calibri"/>
          <w:i/>
          <w:color w:val="1F497D"/>
        </w:rPr>
        <w:t xml:space="preserve">be revised and possibly </w:t>
      </w:r>
      <w:r w:rsidR="00316AE7" w:rsidRPr="00316AE7">
        <w:rPr>
          <w:rFonts w:ascii="Calibri" w:hAnsi="Calibri" w:cs="Calibri"/>
          <w:i/>
          <w:color w:val="1F497D"/>
        </w:rPr>
        <w:t>change?</w:t>
      </w:r>
    </w:p>
    <w:p w:rsidR="00316AE7" w:rsidRPr="00316AE7" w:rsidRDefault="00AF11F2" w:rsidP="00316AE7">
      <w:pPr>
        <w:autoSpaceDE w:val="0"/>
        <w:autoSpaceDN w:val="0"/>
        <w:adjustRightInd w:val="0"/>
        <w:rPr>
          <w:rFonts w:ascii="Calibri" w:hAnsi="Calibri" w:cs="Calibri"/>
          <w:color w:val="1F497D"/>
        </w:rPr>
      </w:pPr>
      <w:r>
        <w:rPr>
          <w:rFonts w:ascii="Calibri" w:hAnsi="Calibri" w:cs="Calibri"/>
          <w:color w:val="1F497D"/>
        </w:rPr>
        <w:t xml:space="preserve">The </w:t>
      </w:r>
      <w:r w:rsidR="00316AE7">
        <w:rPr>
          <w:rFonts w:ascii="Calibri" w:hAnsi="Calibri" w:cs="Calibri"/>
          <w:color w:val="1F497D"/>
        </w:rPr>
        <w:t xml:space="preserve">ICRU rates </w:t>
      </w:r>
      <w:r w:rsidR="00C52F37">
        <w:rPr>
          <w:rFonts w:ascii="Calibri" w:hAnsi="Calibri" w:cs="Calibri"/>
          <w:color w:val="1F497D"/>
        </w:rPr>
        <w:t>in #5</w:t>
      </w:r>
      <w:r>
        <w:rPr>
          <w:rFonts w:ascii="Calibri" w:hAnsi="Calibri" w:cs="Calibri"/>
          <w:color w:val="1F497D"/>
        </w:rPr>
        <w:t xml:space="preserve"> </w:t>
      </w:r>
      <w:r w:rsidR="00505C61">
        <w:rPr>
          <w:rFonts w:ascii="Calibri" w:hAnsi="Calibri" w:cs="Calibri"/>
          <w:color w:val="1F497D"/>
        </w:rPr>
        <w:t>are</w:t>
      </w:r>
      <w:r w:rsidR="00316AE7">
        <w:rPr>
          <w:rFonts w:ascii="Calibri" w:hAnsi="Calibri" w:cs="Calibri"/>
          <w:color w:val="1F497D"/>
        </w:rPr>
        <w:t xml:space="preserve"> </w:t>
      </w:r>
      <w:r w:rsidR="00E20E83">
        <w:rPr>
          <w:rFonts w:ascii="Calibri" w:hAnsi="Calibri" w:cs="Calibri"/>
          <w:color w:val="1F497D"/>
        </w:rPr>
        <w:t xml:space="preserve">in vigor for the full biennium and will be </w:t>
      </w:r>
      <w:r w:rsidR="00316AE7">
        <w:rPr>
          <w:rFonts w:ascii="Calibri" w:hAnsi="Calibri" w:cs="Calibri"/>
          <w:color w:val="1F497D"/>
        </w:rPr>
        <w:t>revised</w:t>
      </w:r>
      <w:r w:rsidR="00214172">
        <w:rPr>
          <w:rFonts w:ascii="Calibri" w:hAnsi="Calibri" w:cs="Calibri"/>
          <w:color w:val="1F497D"/>
        </w:rPr>
        <w:t xml:space="preserve"> </w:t>
      </w:r>
      <w:r w:rsidR="00316AE7">
        <w:rPr>
          <w:rFonts w:ascii="Calibri" w:hAnsi="Calibri" w:cs="Calibri"/>
          <w:color w:val="1F497D"/>
        </w:rPr>
        <w:t>on a biennial basis.</w:t>
      </w:r>
    </w:p>
    <w:p w:rsidR="00E71703" w:rsidRPr="00E71703" w:rsidRDefault="00E71703" w:rsidP="003939A0">
      <w:pPr>
        <w:pStyle w:val="ListParagraph"/>
        <w:autoSpaceDE w:val="0"/>
        <w:autoSpaceDN w:val="0"/>
        <w:adjustRightInd w:val="0"/>
        <w:ind w:left="1080"/>
        <w:rPr>
          <w:rFonts w:ascii="Calibri" w:hAnsi="Calibri" w:cs="Calibri"/>
          <w:color w:val="1F497D"/>
        </w:rPr>
      </w:pPr>
    </w:p>
    <w:p w:rsidR="00112311" w:rsidRDefault="00112311" w:rsidP="00C52F37">
      <w:pPr>
        <w:pStyle w:val="ListParagraph"/>
        <w:numPr>
          <w:ilvl w:val="0"/>
          <w:numId w:val="1"/>
        </w:numPr>
        <w:autoSpaceDE w:val="0"/>
        <w:autoSpaceDN w:val="0"/>
        <w:adjustRightInd w:val="0"/>
        <w:rPr>
          <w:rFonts w:ascii="Calibri" w:hAnsi="Calibri" w:cs="Calibri"/>
          <w:i/>
          <w:color w:val="1F497D"/>
        </w:rPr>
      </w:pPr>
      <w:r w:rsidRPr="00112311">
        <w:rPr>
          <w:rFonts w:ascii="Calibri" w:hAnsi="Calibri" w:cs="Calibri"/>
          <w:i/>
          <w:color w:val="1F497D"/>
        </w:rPr>
        <w:t>When is ICRU applied?</w:t>
      </w:r>
    </w:p>
    <w:p w:rsidR="008E636E" w:rsidRDefault="00467B42" w:rsidP="008E636E">
      <w:pPr>
        <w:autoSpaceDE w:val="0"/>
        <w:autoSpaceDN w:val="0"/>
        <w:adjustRightInd w:val="0"/>
        <w:rPr>
          <w:rFonts w:ascii="Calibri" w:hAnsi="Calibri" w:cs="Calibri"/>
          <w:color w:val="1F497D"/>
        </w:rPr>
      </w:pPr>
      <w:r>
        <w:rPr>
          <w:rFonts w:ascii="Calibri" w:hAnsi="Calibri" w:cs="Calibri"/>
          <w:color w:val="1F497D"/>
        </w:rPr>
        <w:t>ICRU for one month is posted in the following</w:t>
      </w:r>
      <w:r w:rsidR="00C52F37">
        <w:rPr>
          <w:rFonts w:ascii="Calibri" w:hAnsi="Calibri" w:cs="Calibri"/>
          <w:color w:val="1F497D"/>
        </w:rPr>
        <w:t xml:space="preserve"> month, on the basis of FAQs # 4 and 5</w:t>
      </w:r>
      <w:r>
        <w:rPr>
          <w:rFonts w:ascii="Calibri" w:hAnsi="Calibri" w:cs="Calibri"/>
          <w:color w:val="1F497D"/>
        </w:rPr>
        <w:t xml:space="preserve">.  </w:t>
      </w:r>
      <w:r w:rsidR="00251428">
        <w:rPr>
          <w:rFonts w:ascii="Calibri" w:hAnsi="Calibri" w:cs="Calibri"/>
          <w:color w:val="1F497D"/>
        </w:rPr>
        <w:t>For example, January 2014 ICRU is posted in February 2014 GL period.  (Once ICRU is fully automated, ICRU may be ap</w:t>
      </w:r>
      <w:r w:rsidR="00DA2DA2">
        <w:rPr>
          <w:rFonts w:ascii="Calibri" w:hAnsi="Calibri" w:cs="Calibri"/>
          <w:color w:val="1F497D"/>
        </w:rPr>
        <w:t>plied within the same GL period, similarly to the way PSC is posted.</w:t>
      </w:r>
      <w:r w:rsidR="00251428">
        <w:rPr>
          <w:rFonts w:ascii="Calibri" w:hAnsi="Calibri" w:cs="Calibri"/>
          <w:color w:val="1F497D"/>
        </w:rPr>
        <w:t xml:space="preserve">) </w:t>
      </w:r>
    </w:p>
    <w:p w:rsidR="003A6E17" w:rsidRDefault="003A6E17" w:rsidP="003A6E17">
      <w:pPr>
        <w:autoSpaceDE w:val="0"/>
        <w:autoSpaceDN w:val="0"/>
        <w:adjustRightInd w:val="0"/>
        <w:rPr>
          <w:rFonts w:ascii="Calibri" w:hAnsi="Calibri" w:cs="Calibri"/>
          <w:color w:val="1F497D"/>
        </w:rPr>
      </w:pPr>
    </w:p>
    <w:p w:rsidR="003A6E17" w:rsidRPr="00251428" w:rsidRDefault="003A6E17" w:rsidP="00C52F37">
      <w:pPr>
        <w:pStyle w:val="ListParagraph"/>
        <w:numPr>
          <w:ilvl w:val="0"/>
          <w:numId w:val="1"/>
        </w:numPr>
        <w:autoSpaceDE w:val="0"/>
        <w:autoSpaceDN w:val="0"/>
        <w:adjustRightInd w:val="0"/>
        <w:rPr>
          <w:rFonts w:ascii="Calibri" w:hAnsi="Calibri" w:cs="Calibri"/>
          <w:i/>
          <w:iCs/>
          <w:color w:val="1F497D"/>
        </w:rPr>
      </w:pPr>
      <w:r w:rsidRPr="00251428">
        <w:rPr>
          <w:rFonts w:ascii="Calibri" w:hAnsi="Calibri" w:cs="Calibri"/>
          <w:i/>
          <w:iCs/>
          <w:color w:val="1F497D"/>
        </w:rPr>
        <w:t>What are the Budget Holders’ responsibilities?</w:t>
      </w:r>
    </w:p>
    <w:p w:rsidR="003A6E17" w:rsidRDefault="00E90C87" w:rsidP="003A6E17">
      <w:pPr>
        <w:autoSpaceDE w:val="0"/>
        <w:autoSpaceDN w:val="0"/>
        <w:adjustRightInd w:val="0"/>
        <w:rPr>
          <w:rFonts w:ascii="Calibri" w:hAnsi="Calibri" w:cs="Calibri"/>
          <w:color w:val="1F497D"/>
        </w:rPr>
      </w:pPr>
      <w:r>
        <w:rPr>
          <w:rFonts w:ascii="Calibri" w:hAnsi="Calibri" w:cs="Calibri"/>
          <w:color w:val="1F497D"/>
        </w:rPr>
        <w:t xml:space="preserve">Budget Holders should adjust </w:t>
      </w:r>
      <w:r w:rsidR="003A6E17">
        <w:rPr>
          <w:rFonts w:ascii="Calibri" w:hAnsi="Calibri" w:cs="Calibri"/>
          <w:color w:val="1F497D"/>
        </w:rPr>
        <w:t>the budgets of operationally active projects through the preparation of formal Budget Revisions to ensure that actual and future ICRU charges are covered within the projects' budgets.  Budget Holders must ensure that total expenditures are in line with total budgets, as is the case, for example, in accommodating variances of actual staff costs from the pro-forma staff cost rates used to prepare proj</w:t>
      </w:r>
      <w:r>
        <w:rPr>
          <w:rFonts w:ascii="Calibri" w:hAnsi="Calibri" w:cs="Calibri"/>
          <w:color w:val="1F497D"/>
        </w:rPr>
        <w:t xml:space="preserve">ect budgets.  </w:t>
      </w:r>
      <w:r w:rsidR="003A6E17">
        <w:rPr>
          <w:rFonts w:ascii="Calibri" w:hAnsi="Calibri" w:cs="Calibri"/>
          <w:color w:val="1F497D"/>
        </w:rPr>
        <w:t>Furthermore, estimated budgets in project proposals should be amended to incorporate the ICRU within the appropriate budget lines.</w:t>
      </w:r>
    </w:p>
    <w:p w:rsidR="00335031" w:rsidRDefault="00335031" w:rsidP="003A6E17">
      <w:pPr>
        <w:autoSpaceDE w:val="0"/>
        <w:autoSpaceDN w:val="0"/>
        <w:adjustRightInd w:val="0"/>
        <w:rPr>
          <w:rFonts w:ascii="Calibri" w:hAnsi="Calibri" w:cs="Calibri"/>
          <w:color w:val="1F497D"/>
        </w:rPr>
      </w:pPr>
    </w:p>
    <w:p w:rsidR="00E90C87" w:rsidRDefault="008E636E" w:rsidP="00C52F37">
      <w:pPr>
        <w:pStyle w:val="ListParagraph"/>
        <w:numPr>
          <w:ilvl w:val="0"/>
          <w:numId w:val="1"/>
        </w:numPr>
        <w:autoSpaceDE w:val="0"/>
        <w:autoSpaceDN w:val="0"/>
        <w:adjustRightInd w:val="0"/>
        <w:rPr>
          <w:rFonts w:ascii="Calibri" w:hAnsi="Calibri" w:cs="Calibri"/>
          <w:i/>
          <w:color w:val="1F497D"/>
        </w:rPr>
      </w:pPr>
      <w:r>
        <w:rPr>
          <w:rFonts w:ascii="Calibri" w:hAnsi="Calibri" w:cs="Calibri"/>
          <w:i/>
          <w:color w:val="1F497D"/>
        </w:rPr>
        <w:t>Can</w:t>
      </w:r>
      <w:r w:rsidR="00E90C87">
        <w:rPr>
          <w:rFonts w:ascii="Calibri" w:hAnsi="Calibri" w:cs="Calibri"/>
          <w:i/>
          <w:color w:val="1F497D"/>
        </w:rPr>
        <w:t xml:space="preserve"> projects be considered for</w:t>
      </w:r>
      <w:r w:rsidR="00E90C87" w:rsidRPr="00E90C87">
        <w:rPr>
          <w:rFonts w:ascii="Calibri" w:hAnsi="Calibri" w:cs="Calibri"/>
          <w:i/>
          <w:color w:val="1F497D"/>
        </w:rPr>
        <w:t xml:space="preserve"> exemption?</w:t>
      </w:r>
    </w:p>
    <w:p w:rsidR="00E95E72" w:rsidRPr="00E95E72" w:rsidRDefault="008E636E" w:rsidP="00E95E72">
      <w:pPr>
        <w:autoSpaceDE w:val="0"/>
        <w:autoSpaceDN w:val="0"/>
        <w:rPr>
          <w:color w:val="1F497D"/>
        </w:rPr>
      </w:pPr>
      <w:r>
        <w:rPr>
          <w:color w:val="1F497D"/>
        </w:rPr>
        <w:t>ICRU</w:t>
      </w:r>
      <w:r w:rsidRPr="008E636E">
        <w:rPr>
          <w:color w:val="1F497D"/>
        </w:rPr>
        <w:t xml:space="preserve"> was endorsed by the Council at its 143</w:t>
      </w:r>
      <w:r w:rsidRPr="008E636E">
        <w:rPr>
          <w:color w:val="1F497D"/>
          <w:vertAlign w:val="superscript"/>
        </w:rPr>
        <w:t>rd</w:t>
      </w:r>
      <w:r w:rsidRPr="008E636E">
        <w:rPr>
          <w:color w:val="1F497D"/>
        </w:rPr>
        <w:t xml:space="preserve"> session in December 2011, which forces the Organization to follow through with the implementation of this measure, and continue to charge ICRU to all staff and consultants, regardless of their staffing arrangements, i.e. for staff/consul</w:t>
      </w:r>
      <w:r>
        <w:rPr>
          <w:color w:val="1F497D"/>
        </w:rPr>
        <w:t>tants not working on premises. </w:t>
      </w:r>
    </w:p>
    <w:p w:rsidR="00896DDA" w:rsidRDefault="00896DDA" w:rsidP="002769F0">
      <w:pPr>
        <w:autoSpaceDE w:val="0"/>
        <w:autoSpaceDN w:val="0"/>
        <w:rPr>
          <w:color w:val="1F497D"/>
        </w:rPr>
      </w:pPr>
    </w:p>
    <w:p w:rsidR="00896DDA" w:rsidRPr="00E90C87" w:rsidRDefault="00896DDA" w:rsidP="00C52F37">
      <w:pPr>
        <w:pStyle w:val="ListParagraph"/>
        <w:numPr>
          <w:ilvl w:val="0"/>
          <w:numId w:val="1"/>
        </w:numPr>
        <w:autoSpaceDE w:val="0"/>
        <w:autoSpaceDN w:val="0"/>
        <w:adjustRightInd w:val="0"/>
        <w:rPr>
          <w:rFonts w:ascii="Calibri" w:hAnsi="Calibri" w:cs="Calibri"/>
          <w:i/>
          <w:color w:val="1F497D"/>
        </w:rPr>
      </w:pPr>
      <w:r w:rsidRPr="00E90C87">
        <w:rPr>
          <w:rFonts w:ascii="Calibri" w:hAnsi="Calibri" w:cs="Calibri"/>
          <w:i/>
          <w:color w:val="1F497D"/>
        </w:rPr>
        <w:t>Who is benefiting from ICRU?</w:t>
      </w:r>
    </w:p>
    <w:p w:rsidR="00896DDA" w:rsidRPr="00E90C87" w:rsidRDefault="00896DDA" w:rsidP="00896DDA">
      <w:pPr>
        <w:autoSpaceDE w:val="0"/>
        <w:autoSpaceDN w:val="0"/>
        <w:adjustRightInd w:val="0"/>
        <w:rPr>
          <w:rFonts w:ascii="Calibri" w:hAnsi="Calibri" w:cs="Calibri"/>
          <w:color w:val="1F497D"/>
        </w:rPr>
      </w:pPr>
      <w:r>
        <w:rPr>
          <w:rFonts w:ascii="Calibri" w:hAnsi="Calibri" w:cs="Calibri"/>
          <w:color w:val="1F497D"/>
        </w:rPr>
        <w:t xml:space="preserve">FAO and Donors are benefiting, in such that the Organization is finally recovering costs that were previously subsidized by </w:t>
      </w:r>
      <w:r w:rsidR="004E2A43">
        <w:rPr>
          <w:rFonts w:ascii="Calibri" w:hAnsi="Calibri" w:cs="Calibri"/>
          <w:color w:val="1F497D"/>
        </w:rPr>
        <w:t xml:space="preserve">the </w:t>
      </w:r>
      <w:r>
        <w:rPr>
          <w:rFonts w:ascii="Calibri" w:hAnsi="Calibri" w:cs="Calibri"/>
          <w:color w:val="1F497D"/>
        </w:rPr>
        <w:t xml:space="preserve">Assessed Contributions.  </w:t>
      </w:r>
    </w:p>
    <w:p w:rsidR="002769F0" w:rsidRDefault="002769F0" w:rsidP="002769F0">
      <w:pPr>
        <w:autoSpaceDE w:val="0"/>
        <w:autoSpaceDN w:val="0"/>
        <w:rPr>
          <w:color w:val="1F497D"/>
        </w:rPr>
      </w:pPr>
    </w:p>
    <w:p w:rsidR="002769F0" w:rsidRPr="002769F0" w:rsidRDefault="002769F0" w:rsidP="00C52F37">
      <w:pPr>
        <w:pStyle w:val="ListParagraph"/>
        <w:numPr>
          <w:ilvl w:val="0"/>
          <w:numId w:val="1"/>
        </w:numPr>
        <w:autoSpaceDE w:val="0"/>
        <w:autoSpaceDN w:val="0"/>
        <w:rPr>
          <w:i/>
          <w:color w:val="1F497D"/>
        </w:rPr>
      </w:pPr>
      <w:r w:rsidRPr="002769F0">
        <w:rPr>
          <w:rFonts w:ascii="Calibri" w:hAnsi="Calibri" w:cs="Calibri"/>
          <w:i/>
          <w:color w:val="1F497D"/>
        </w:rPr>
        <w:t>How is ICRU distributed?</w:t>
      </w:r>
    </w:p>
    <w:p w:rsidR="002769F0" w:rsidRDefault="002769F0" w:rsidP="002769F0">
      <w:pPr>
        <w:autoSpaceDE w:val="0"/>
        <w:autoSpaceDN w:val="0"/>
        <w:adjustRightInd w:val="0"/>
        <w:rPr>
          <w:rFonts w:ascii="Calibri" w:hAnsi="Calibri" w:cs="Calibri"/>
          <w:color w:val="1F497D"/>
        </w:rPr>
      </w:pPr>
      <w:r>
        <w:rPr>
          <w:rFonts w:ascii="Calibri" w:hAnsi="Calibri" w:cs="Calibri"/>
          <w:color w:val="1F497D"/>
        </w:rPr>
        <w:t>ICRU is made available to service providers (i.e. for Security, DDOS, and for IT, CIO) in the form of an allotment .</w:t>
      </w:r>
    </w:p>
    <w:p w:rsidR="002769F0" w:rsidRPr="002769F0" w:rsidRDefault="002769F0" w:rsidP="002769F0">
      <w:pPr>
        <w:autoSpaceDE w:val="0"/>
        <w:autoSpaceDN w:val="0"/>
        <w:rPr>
          <w:color w:val="1F497D"/>
        </w:rPr>
      </w:pPr>
    </w:p>
    <w:p w:rsidR="002769F0" w:rsidRPr="00303F12" w:rsidRDefault="002769F0" w:rsidP="00C52F37">
      <w:pPr>
        <w:pStyle w:val="ListParagraph"/>
        <w:numPr>
          <w:ilvl w:val="0"/>
          <w:numId w:val="1"/>
        </w:numPr>
        <w:autoSpaceDE w:val="0"/>
        <w:autoSpaceDN w:val="0"/>
        <w:adjustRightInd w:val="0"/>
        <w:rPr>
          <w:rFonts w:ascii="Calibri" w:hAnsi="Calibri" w:cs="Calibri"/>
          <w:i/>
          <w:iCs/>
          <w:color w:val="1F497D"/>
        </w:rPr>
      </w:pPr>
      <w:r w:rsidRPr="00303F12">
        <w:rPr>
          <w:rFonts w:ascii="Calibri" w:hAnsi="Calibri" w:cs="Calibri"/>
          <w:i/>
          <w:iCs/>
          <w:color w:val="1F497D"/>
        </w:rPr>
        <w:t xml:space="preserve">If </w:t>
      </w:r>
      <w:r w:rsidR="00505C61">
        <w:rPr>
          <w:rFonts w:ascii="Calibri" w:hAnsi="Calibri" w:cs="Calibri"/>
          <w:i/>
          <w:iCs/>
          <w:color w:val="1F497D"/>
        </w:rPr>
        <w:t>Field</w:t>
      </w:r>
      <w:r w:rsidR="00F4069C" w:rsidRPr="00303F12">
        <w:rPr>
          <w:rFonts w:ascii="Calibri" w:hAnsi="Calibri" w:cs="Calibri"/>
          <w:i/>
          <w:iCs/>
          <w:color w:val="1F497D"/>
        </w:rPr>
        <w:t xml:space="preserve"> </w:t>
      </w:r>
      <w:r w:rsidRPr="00303F12">
        <w:rPr>
          <w:rFonts w:ascii="Calibri" w:hAnsi="Calibri" w:cs="Calibri"/>
          <w:i/>
          <w:iCs/>
          <w:color w:val="1F497D"/>
        </w:rPr>
        <w:t xml:space="preserve">Security </w:t>
      </w:r>
      <w:r w:rsidR="00F4069C" w:rsidRPr="00303F12">
        <w:rPr>
          <w:rFonts w:ascii="Calibri" w:hAnsi="Calibri" w:cs="Calibri"/>
          <w:i/>
          <w:iCs/>
          <w:color w:val="1F497D"/>
        </w:rPr>
        <w:t>and/</w:t>
      </w:r>
      <w:r w:rsidRPr="00303F12">
        <w:rPr>
          <w:rFonts w:ascii="Calibri" w:hAnsi="Calibri" w:cs="Calibri"/>
          <w:i/>
          <w:iCs/>
          <w:color w:val="1F497D"/>
        </w:rPr>
        <w:t>or IT costs have already been budgeted within the project budget, how do</w:t>
      </w:r>
      <w:r w:rsidR="00F4069C" w:rsidRPr="00303F12">
        <w:rPr>
          <w:rFonts w:ascii="Calibri" w:hAnsi="Calibri" w:cs="Calibri"/>
          <w:i/>
          <w:iCs/>
          <w:color w:val="1F497D"/>
        </w:rPr>
        <w:t>es</w:t>
      </w:r>
      <w:r w:rsidRPr="00303F12">
        <w:rPr>
          <w:rFonts w:ascii="Calibri" w:hAnsi="Calibri" w:cs="Calibri"/>
          <w:i/>
          <w:iCs/>
          <w:color w:val="1F497D"/>
        </w:rPr>
        <w:t xml:space="preserve"> </w:t>
      </w:r>
      <w:r w:rsidR="00F4069C" w:rsidRPr="00303F12">
        <w:rPr>
          <w:rFonts w:ascii="Calibri" w:hAnsi="Calibri" w:cs="Calibri"/>
          <w:i/>
          <w:iCs/>
          <w:color w:val="1F497D"/>
        </w:rPr>
        <w:t xml:space="preserve">the Budget Holder </w:t>
      </w:r>
      <w:r w:rsidR="009C0E2F">
        <w:rPr>
          <w:rFonts w:ascii="Calibri" w:hAnsi="Calibri" w:cs="Calibri"/>
          <w:i/>
          <w:iCs/>
          <w:color w:val="1F497D"/>
        </w:rPr>
        <w:t xml:space="preserve">ensure that the project is not double charged with similar or the </w:t>
      </w:r>
      <w:r w:rsidRPr="00303F12">
        <w:rPr>
          <w:rFonts w:ascii="Calibri" w:hAnsi="Calibri" w:cs="Calibri"/>
          <w:i/>
          <w:iCs/>
          <w:color w:val="1F497D"/>
        </w:rPr>
        <w:t>same costs?</w:t>
      </w:r>
      <w:r w:rsidR="00505C61">
        <w:rPr>
          <w:rFonts w:ascii="Calibri" w:hAnsi="Calibri" w:cs="Calibri"/>
          <w:i/>
          <w:iCs/>
          <w:color w:val="1F497D"/>
        </w:rPr>
        <w:t xml:space="preserve">  Can we charge additional Field </w:t>
      </w:r>
      <w:r w:rsidR="00F4069C" w:rsidRPr="00303F12">
        <w:rPr>
          <w:rFonts w:ascii="Calibri" w:hAnsi="Calibri" w:cs="Calibri"/>
          <w:i/>
          <w:iCs/>
          <w:color w:val="1F497D"/>
        </w:rPr>
        <w:t xml:space="preserve">IT expenditures to projects? </w:t>
      </w:r>
    </w:p>
    <w:p w:rsidR="002769F0" w:rsidRDefault="002769F0" w:rsidP="002769F0">
      <w:pPr>
        <w:pStyle w:val="ListParagraph"/>
        <w:autoSpaceDE w:val="0"/>
        <w:autoSpaceDN w:val="0"/>
        <w:rPr>
          <w:i/>
          <w:color w:val="1F497D"/>
        </w:rPr>
      </w:pPr>
    </w:p>
    <w:p w:rsidR="002769F0" w:rsidRDefault="00F4069C" w:rsidP="002769F0">
      <w:pPr>
        <w:autoSpaceDE w:val="0"/>
        <w:autoSpaceDN w:val="0"/>
        <w:rPr>
          <w:color w:val="1F497D"/>
        </w:rPr>
      </w:pPr>
      <w:r>
        <w:rPr>
          <w:color w:val="1F497D"/>
        </w:rPr>
        <w:t xml:space="preserve">Security – </w:t>
      </w:r>
      <w:r w:rsidR="00410186">
        <w:rPr>
          <w:color w:val="1F497D"/>
        </w:rPr>
        <w:t xml:space="preserve"> P</w:t>
      </w:r>
      <w:r w:rsidR="002769F0">
        <w:rPr>
          <w:color w:val="1F497D"/>
        </w:rPr>
        <w:t xml:space="preserve">roject security needs will be </w:t>
      </w:r>
      <w:r w:rsidR="00410186">
        <w:rPr>
          <w:color w:val="1F497D"/>
        </w:rPr>
        <w:t xml:space="preserve">coordinated by Field Security Unit (DDOS), and </w:t>
      </w:r>
      <w:r w:rsidR="002769F0">
        <w:rPr>
          <w:color w:val="1F497D"/>
        </w:rPr>
        <w:t xml:space="preserve">financed from HQ-managed allocations.  It is therefore suggested that for any specific security arrangements, other than those paid from UNDSS Jointly-Financed Activities (JFA) and Locally Cost-Shared (LCS) budgets, clearance be obtained from DDOS.  Funding of these special arrangements, once approved by DDOS, will </w:t>
      </w:r>
      <w:r w:rsidR="002769F0">
        <w:rPr>
          <w:color w:val="1F497D"/>
        </w:rPr>
        <w:lastRenderedPageBreak/>
        <w:t>be covered from the DDOS-managed Field EB Security Revolving Fund, as well as payments for EB share of FAO contributions to LCS budgets.  A separate communication on this matter will be issued shortly by OSD (or DDO) to DOs. </w:t>
      </w:r>
    </w:p>
    <w:p w:rsidR="00505C61" w:rsidRDefault="00505C61" w:rsidP="002769F0">
      <w:pPr>
        <w:autoSpaceDE w:val="0"/>
        <w:autoSpaceDN w:val="0"/>
        <w:rPr>
          <w:color w:val="1F497D"/>
        </w:rPr>
      </w:pPr>
    </w:p>
    <w:p w:rsidR="00303F12" w:rsidRDefault="002769F0" w:rsidP="002769F0">
      <w:pPr>
        <w:autoSpaceDE w:val="0"/>
        <w:autoSpaceDN w:val="0"/>
        <w:rPr>
          <w:color w:val="1F497D"/>
        </w:rPr>
      </w:pPr>
      <w:r>
        <w:rPr>
          <w:color w:val="1F497D"/>
        </w:rPr>
        <w:t xml:space="preserve">IT </w:t>
      </w:r>
      <w:r w:rsidR="00F4069C">
        <w:rPr>
          <w:color w:val="1F497D"/>
        </w:rPr>
        <w:t>–</w:t>
      </w:r>
      <w:r>
        <w:rPr>
          <w:color w:val="1F497D"/>
        </w:rPr>
        <w:t xml:space="preserve"> </w:t>
      </w:r>
      <w:r w:rsidR="00F4069C">
        <w:rPr>
          <w:color w:val="1F497D"/>
        </w:rPr>
        <w:t xml:space="preserve">Field </w:t>
      </w:r>
      <w:r w:rsidRPr="002769F0">
        <w:rPr>
          <w:color w:val="1F497D"/>
        </w:rPr>
        <w:t xml:space="preserve">ICRU IT is primarily related to centralized IT support provided by HQ, such as access and support of email accounts, Oracle, FPMIS, COIN, PIRES, etc.   The Field IT ICRU only covers part of the total IT costs in the Field, and projects cover the other part, hence the BH may charge additional IT costs to the project, which are not the same as Field IT ICRU.  (For instance, in addition to the Field IT ICRU, some projects include the following IT costs : </w:t>
      </w:r>
    </w:p>
    <w:p w:rsidR="00303F12" w:rsidRDefault="002769F0" w:rsidP="00C52F37">
      <w:pPr>
        <w:pStyle w:val="ListParagraph"/>
        <w:numPr>
          <w:ilvl w:val="1"/>
          <w:numId w:val="1"/>
        </w:numPr>
        <w:autoSpaceDE w:val="0"/>
        <w:autoSpaceDN w:val="0"/>
        <w:rPr>
          <w:color w:val="1F497D"/>
        </w:rPr>
      </w:pPr>
      <w:r w:rsidRPr="00303F12">
        <w:rPr>
          <w:color w:val="1F497D"/>
        </w:rPr>
        <w:t xml:space="preserve">contracts for IT technical support, </w:t>
      </w:r>
    </w:p>
    <w:p w:rsidR="00303F12" w:rsidRDefault="002769F0" w:rsidP="00C52F37">
      <w:pPr>
        <w:pStyle w:val="ListParagraph"/>
        <w:numPr>
          <w:ilvl w:val="1"/>
          <w:numId w:val="1"/>
        </w:numPr>
        <w:autoSpaceDE w:val="0"/>
        <w:autoSpaceDN w:val="0"/>
        <w:rPr>
          <w:color w:val="1F497D"/>
        </w:rPr>
      </w:pPr>
      <w:r w:rsidRPr="00303F12">
        <w:rPr>
          <w:color w:val="1F497D"/>
        </w:rPr>
        <w:t>internet connection w</w:t>
      </w:r>
      <w:r w:rsidR="00303F12">
        <w:rPr>
          <w:color w:val="1F497D"/>
        </w:rPr>
        <w:t xml:space="preserve">ith internet providers, </w:t>
      </w:r>
    </w:p>
    <w:p w:rsidR="00303F12" w:rsidRDefault="00303F12" w:rsidP="00C52F37">
      <w:pPr>
        <w:pStyle w:val="ListParagraph"/>
        <w:numPr>
          <w:ilvl w:val="1"/>
          <w:numId w:val="1"/>
        </w:numPr>
        <w:autoSpaceDE w:val="0"/>
        <w:autoSpaceDN w:val="0"/>
        <w:rPr>
          <w:color w:val="1F497D"/>
        </w:rPr>
      </w:pPr>
      <w:r>
        <w:rPr>
          <w:color w:val="1F497D"/>
        </w:rPr>
        <w:t>hiring of IT consultants, etc.</w:t>
      </w:r>
    </w:p>
    <w:p w:rsidR="002769F0" w:rsidRDefault="002769F0" w:rsidP="00303F12">
      <w:pPr>
        <w:autoSpaceDE w:val="0"/>
        <w:autoSpaceDN w:val="0"/>
        <w:rPr>
          <w:color w:val="1F497D"/>
        </w:rPr>
      </w:pPr>
      <w:r w:rsidRPr="00303F12">
        <w:rPr>
          <w:color w:val="1F497D"/>
        </w:rPr>
        <w:t>This cost sharing arrangement is reflected in the actual IT ICRU rates, where the Field IT ICRU is one third of the HQ IT ICR</w:t>
      </w:r>
      <w:r w:rsidR="00303F12">
        <w:rPr>
          <w:color w:val="1F497D"/>
        </w:rPr>
        <w:t>U, 1.4% for Field and 5% for HQ.  T</w:t>
      </w:r>
      <w:r w:rsidRPr="00303F12">
        <w:rPr>
          <w:color w:val="1F497D"/>
        </w:rPr>
        <w:t>hese percentages have been formulated very carefully taking into consideration many factors.</w:t>
      </w:r>
    </w:p>
    <w:p w:rsidR="00AD01CF" w:rsidRDefault="00AD01CF" w:rsidP="00303F12">
      <w:pPr>
        <w:autoSpaceDE w:val="0"/>
        <w:autoSpaceDN w:val="0"/>
        <w:rPr>
          <w:color w:val="1F497D"/>
        </w:rPr>
      </w:pPr>
    </w:p>
    <w:p w:rsidR="00AD01CF" w:rsidRPr="00AD01CF" w:rsidRDefault="00AD01CF" w:rsidP="00C52F37">
      <w:pPr>
        <w:pStyle w:val="ListParagraph"/>
        <w:numPr>
          <w:ilvl w:val="0"/>
          <w:numId w:val="1"/>
        </w:numPr>
        <w:autoSpaceDE w:val="0"/>
        <w:autoSpaceDN w:val="0"/>
        <w:adjustRightInd w:val="0"/>
        <w:rPr>
          <w:rFonts w:ascii="Calibri" w:hAnsi="Calibri" w:cs="Calibri"/>
          <w:i/>
          <w:iCs/>
          <w:color w:val="1F497D"/>
        </w:rPr>
      </w:pPr>
      <w:r w:rsidRPr="00AD01CF">
        <w:rPr>
          <w:rFonts w:ascii="Calibri" w:hAnsi="Calibri" w:cs="Calibri"/>
          <w:i/>
          <w:iCs/>
          <w:color w:val="1F497D"/>
        </w:rPr>
        <w:t>Are there any legal implications to charge ICRU to operationally active projects?</w:t>
      </w:r>
      <w:r w:rsidRPr="00AD01CF">
        <w:rPr>
          <w:rFonts w:ascii="Calibri" w:hAnsi="Calibri"/>
          <w:color w:val="1F497D"/>
        </w:rPr>
        <w:t xml:space="preserve"> </w:t>
      </w:r>
    </w:p>
    <w:p w:rsidR="00AD01CF" w:rsidRDefault="00AD01CF" w:rsidP="00AD01CF">
      <w:pPr>
        <w:autoSpaceDE w:val="0"/>
        <w:autoSpaceDN w:val="0"/>
        <w:adjustRightInd w:val="0"/>
        <w:rPr>
          <w:rFonts w:ascii="Calibri" w:hAnsi="Calibri"/>
          <w:color w:val="1F497D"/>
        </w:rPr>
      </w:pPr>
      <w:r w:rsidRPr="00AD01CF">
        <w:rPr>
          <w:rFonts w:ascii="Calibri" w:hAnsi="Calibri"/>
          <w:color w:val="1F497D"/>
        </w:rPr>
        <w:t>FAO Legal division confirmed that there are no legal implications impeding the Organization to apply ICRU to all TF and UN projects, including those projects that are ongoing (operationally active), and recover direct costs, such as IT, Security and Office occupancy, generated from projects’ personnel.</w:t>
      </w:r>
    </w:p>
    <w:p w:rsidR="00E95E72" w:rsidRDefault="00E95E72" w:rsidP="00AD01CF">
      <w:pPr>
        <w:autoSpaceDE w:val="0"/>
        <w:autoSpaceDN w:val="0"/>
        <w:adjustRightInd w:val="0"/>
        <w:rPr>
          <w:rFonts w:ascii="Calibri" w:hAnsi="Calibri"/>
          <w:color w:val="1F497D"/>
        </w:rPr>
      </w:pPr>
    </w:p>
    <w:p w:rsidR="00E95E72" w:rsidRPr="00335031" w:rsidRDefault="00E95E72" w:rsidP="00C52F37">
      <w:pPr>
        <w:pStyle w:val="ListParagraph"/>
        <w:numPr>
          <w:ilvl w:val="0"/>
          <w:numId w:val="1"/>
        </w:numPr>
        <w:autoSpaceDE w:val="0"/>
        <w:autoSpaceDN w:val="0"/>
        <w:adjustRightInd w:val="0"/>
        <w:rPr>
          <w:rFonts w:ascii="Calibri" w:hAnsi="Calibri"/>
          <w:i/>
          <w:color w:val="1F497D"/>
        </w:rPr>
      </w:pPr>
      <w:r w:rsidRPr="00335031">
        <w:rPr>
          <w:rFonts w:ascii="Calibri" w:hAnsi="Calibri"/>
          <w:i/>
          <w:color w:val="1F497D"/>
        </w:rPr>
        <w:t xml:space="preserve">Does the ICRU recovery mechanism reflect all projects and staffing arrangements?  Is it possible to develop </w:t>
      </w:r>
      <w:r w:rsidR="009B26C3">
        <w:rPr>
          <w:rFonts w:ascii="Calibri" w:hAnsi="Calibri"/>
          <w:i/>
          <w:color w:val="1F497D"/>
        </w:rPr>
        <w:t xml:space="preserve">a more customized </w:t>
      </w:r>
      <w:r w:rsidRPr="00335031">
        <w:rPr>
          <w:rFonts w:ascii="Calibri" w:hAnsi="Calibri"/>
          <w:i/>
          <w:color w:val="1F497D"/>
        </w:rPr>
        <w:t>mechanism?</w:t>
      </w:r>
    </w:p>
    <w:p w:rsidR="00E95E72" w:rsidRDefault="00E95E72" w:rsidP="00E95E72">
      <w:pPr>
        <w:autoSpaceDE w:val="0"/>
        <w:autoSpaceDN w:val="0"/>
        <w:adjustRightInd w:val="0"/>
        <w:rPr>
          <w:color w:val="1F497D"/>
        </w:rPr>
      </w:pPr>
      <w:r>
        <w:rPr>
          <w:color w:val="1F497D"/>
        </w:rPr>
        <w:t>There is no perfect cost recovery mechanism which suits all projects and staffing arrangements, as the implementation of customized mechanism would be extremely expensive to implement, and counterproductive, not to mention that it would never be approved by the Governing Bodies, due to efficiency savings.  (In fact, the previous office occupancy recovery mechanism conducted by CSAI was extremely labor intensive and inefficient to the point that the Finance Committee urged the Organization to implement a more streamlined approach using a percentage basis, regardless of its minor flaws).</w:t>
      </w:r>
    </w:p>
    <w:p w:rsidR="00335031" w:rsidRDefault="00335031" w:rsidP="00E95E72">
      <w:pPr>
        <w:autoSpaceDE w:val="0"/>
        <w:autoSpaceDN w:val="0"/>
        <w:adjustRightInd w:val="0"/>
        <w:rPr>
          <w:color w:val="1F497D"/>
        </w:rPr>
      </w:pPr>
    </w:p>
    <w:p w:rsidR="00335031" w:rsidRDefault="00335031" w:rsidP="00335031">
      <w:pPr>
        <w:autoSpaceDE w:val="0"/>
        <w:autoSpaceDN w:val="0"/>
        <w:rPr>
          <w:color w:val="1F497D"/>
        </w:rPr>
      </w:pPr>
      <w:r>
        <w:rPr>
          <w:color w:val="1F497D"/>
        </w:rPr>
        <w:t>FAO and its Governing Bodies had to opt for a method which is fairly standardized, and addresses the majority of project and staffing arrangements, ensuring a robust recovery mechanism at a reasonable cost.</w:t>
      </w:r>
    </w:p>
    <w:p w:rsidR="00335031" w:rsidRDefault="00335031" w:rsidP="00335031">
      <w:pPr>
        <w:autoSpaceDE w:val="0"/>
        <w:autoSpaceDN w:val="0"/>
        <w:rPr>
          <w:color w:val="1F497D"/>
        </w:rPr>
      </w:pPr>
    </w:p>
    <w:p w:rsidR="009C0E2F" w:rsidRDefault="009C0E2F" w:rsidP="00C52F37">
      <w:pPr>
        <w:pStyle w:val="ListParagraph"/>
        <w:numPr>
          <w:ilvl w:val="0"/>
          <w:numId w:val="1"/>
        </w:numPr>
        <w:autoSpaceDE w:val="0"/>
        <w:autoSpaceDN w:val="0"/>
        <w:adjustRightInd w:val="0"/>
        <w:rPr>
          <w:rFonts w:ascii="Calibri" w:hAnsi="Calibri" w:cs="Calibri"/>
          <w:i/>
          <w:iCs/>
          <w:color w:val="1F497D"/>
        </w:rPr>
      </w:pPr>
      <w:r>
        <w:rPr>
          <w:rFonts w:ascii="Calibri" w:hAnsi="Calibri" w:cs="Calibri"/>
          <w:i/>
          <w:iCs/>
          <w:color w:val="1F497D"/>
        </w:rPr>
        <w:t>What are the documents that make reference to ICRU?</w:t>
      </w:r>
    </w:p>
    <w:p w:rsidR="00371C78" w:rsidRDefault="009C0E2F" w:rsidP="00C52F37">
      <w:pPr>
        <w:pStyle w:val="ListParagraph"/>
        <w:numPr>
          <w:ilvl w:val="1"/>
          <w:numId w:val="1"/>
        </w:numPr>
        <w:autoSpaceDE w:val="0"/>
        <w:autoSpaceDN w:val="0"/>
        <w:adjustRightInd w:val="0"/>
        <w:rPr>
          <w:rFonts w:ascii="Calibri" w:hAnsi="Calibri"/>
          <w:color w:val="1F497D"/>
        </w:rPr>
      </w:pPr>
      <w:r w:rsidRPr="009C0E2F">
        <w:rPr>
          <w:rFonts w:ascii="Calibri" w:hAnsi="Calibri"/>
          <w:color w:val="1F497D"/>
        </w:rPr>
        <w:t xml:space="preserve">FC 140/8, Measures to Improve Implementation of the Organization’s Support Cost Policy </w:t>
      </w:r>
      <w:hyperlink r:id="rId8" w:history="1">
        <w:r w:rsidRPr="009C0E2F">
          <w:rPr>
            <w:color w:val="1F497D"/>
            <w:u w:val="single"/>
          </w:rPr>
          <w:t>http://www.fao.org/docrep/meeting/023/mc205e.pdf</w:t>
        </w:r>
      </w:hyperlink>
      <w:r w:rsidRPr="009C0E2F">
        <w:rPr>
          <w:rFonts w:ascii="Calibri" w:hAnsi="Calibri"/>
          <w:color w:val="1F497D"/>
        </w:rPr>
        <w:t>)</w:t>
      </w:r>
      <w:r>
        <w:rPr>
          <w:rFonts w:ascii="Calibri" w:hAnsi="Calibri"/>
          <w:color w:val="1F497D"/>
        </w:rPr>
        <w:t>.</w:t>
      </w:r>
    </w:p>
    <w:p w:rsidR="00371C78" w:rsidRPr="00371C78" w:rsidRDefault="00371C78" w:rsidP="00C52F37">
      <w:pPr>
        <w:pStyle w:val="ListParagraph"/>
        <w:numPr>
          <w:ilvl w:val="1"/>
          <w:numId w:val="1"/>
        </w:numPr>
        <w:autoSpaceDE w:val="0"/>
        <w:autoSpaceDN w:val="0"/>
        <w:adjustRightInd w:val="0"/>
        <w:rPr>
          <w:rFonts w:ascii="Calibri" w:hAnsi="Calibri"/>
          <w:color w:val="1F497D"/>
        </w:rPr>
      </w:pPr>
      <w:r w:rsidRPr="00371C78">
        <w:rPr>
          <w:rFonts w:ascii="Calibri" w:hAnsi="Calibri" w:cs="Calibri"/>
          <w:color w:val="1F497D"/>
        </w:rPr>
        <w:t xml:space="preserve">FC 147/9 at </w:t>
      </w:r>
      <w:hyperlink r:id="rId9" w:history="1">
        <w:r w:rsidRPr="00371C78">
          <w:rPr>
            <w:color w:val="1F497D"/>
            <w:u w:val="single"/>
          </w:rPr>
          <w:t>http://www.fao.org/bodies/fc/fc147/en/</w:t>
        </w:r>
      </w:hyperlink>
      <w:r w:rsidRPr="00371C78">
        <w:rPr>
          <w:rFonts w:ascii="Calibri" w:hAnsi="Calibri" w:cs="Calibri"/>
          <w:color w:val="1F497D"/>
        </w:rPr>
        <w:t xml:space="preserve">).   </w:t>
      </w:r>
    </w:p>
    <w:p w:rsidR="009C0E2F" w:rsidRPr="009C0E2F" w:rsidRDefault="009C0E2F" w:rsidP="00C52F37">
      <w:pPr>
        <w:pStyle w:val="ListParagraph"/>
        <w:numPr>
          <w:ilvl w:val="1"/>
          <w:numId w:val="1"/>
        </w:numPr>
        <w:autoSpaceDE w:val="0"/>
        <w:autoSpaceDN w:val="0"/>
        <w:adjustRightInd w:val="0"/>
        <w:rPr>
          <w:rFonts w:ascii="Calibri" w:hAnsi="Calibri"/>
          <w:color w:val="1F497D"/>
        </w:rPr>
      </w:pPr>
      <w:r w:rsidRPr="009C0E2F">
        <w:rPr>
          <w:rFonts w:ascii="Calibri" w:hAnsi="Calibri"/>
          <w:color w:val="1F497D"/>
        </w:rPr>
        <w:t xml:space="preserve">FC 151/8, Comprehensive Report on FAO’s Support Cost Policy </w:t>
      </w:r>
      <w:hyperlink r:id="rId10" w:history="1">
        <w:r w:rsidRPr="009C0E2F">
          <w:rPr>
            <w:rFonts w:ascii="Calibri" w:hAnsi="Calibri"/>
            <w:color w:val="1F497D"/>
            <w:u w:val="single"/>
          </w:rPr>
          <w:t>http://www.fao.org/docrep/meeting/029/mi822E.pdf</w:t>
        </w:r>
      </w:hyperlink>
      <w:r w:rsidRPr="009C0E2F">
        <w:rPr>
          <w:rFonts w:ascii="Calibri" w:hAnsi="Calibri"/>
          <w:color w:val="1F497D"/>
        </w:rPr>
        <w:t>).</w:t>
      </w:r>
    </w:p>
    <w:p w:rsidR="009C0E2F" w:rsidRDefault="009C0E2F" w:rsidP="009C0E2F">
      <w:pPr>
        <w:pStyle w:val="ListParagraph"/>
        <w:autoSpaceDE w:val="0"/>
        <w:autoSpaceDN w:val="0"/>
        <w:adjustRightInd w:val="0"/>
        <w:ind w:left="360"/>
        <w:rPr>
          <w:rFonts w:ascii="Calibri" w:hAnsi="Calibri" w:cs="Calibri"/>
          <w:i/>
          <w:iCs/>
          <w:color w:val="1F497D"/>
        </w:rPr>
      </w:pPr>
    </w:p>
    <w:p w:rsidR="009C0E2F" w:rsidRPr="009C0E2F" w:rsidRDefault="009C0E2F" w:rsidP="00C52F37">
      <w:pPr>
        <w:pStyle w:val="ListParagraph"/>
        <w:numPr>
          <w:ilvl w:val="0"/>
          <w:numId w:val="1"/>
        </w:numPr>
        <w:autoSpaceDE w:val="0"/>
        <w:autoSpaceDN w:val="0"/>
        <w:adjustRightInd w:val="0"/>
        <w:rPr>
          <w:rFonts w:ascii="Calibri" w:hAnsi="Calibri" w:cs="Calibri"/>
          <w:i/>
          <w:iCs/>
          <w:color w:val="1F497D"/>
        </w:rPr>
      </w:pPr>
      <w:r>
        <w:rPr>
          <w:rFonts w:ascii="Calibri" w:hAnsi="Calibri" w:cs="Calibri"/>
          <w:i/>
          <w:iCs/>
          <w:color w:val="1F497D"/>
        </w:rPr>
        <w:t xml:space="preserve">Who </w:t>
      </w:r>
      <w:r w:rsidR="000041BC">
        <w:rPr>
          <w:rFonts w:ascii="Calibri" w:hAnsi="Calibri" w:cs="Calibri"/>
          <w:i/>
          <w:iCs/>
          <w:color w:val="1F497D"/>
        </w:rPr>
        <w:t>to</w:t>
      </w:r>
      <w:r>
        <w:rPr>
          <w:rFonts w:ascii="Calibri" w:hAnsi="Calibri" w:cs="Calibri"/>
          <w:i/>
          <w:iCs/>
          <w:color w:val="1F497D"/>
        </w:rPr>
        <w:t xml:space="preserve"> contact with queries on ICRU?</w:t>
      </w:r>
    </w:p>
    <w:p w:rsidR="009C0E2F" w:rsidRPr="009C0E2F" w:rsidRDefault="009C0E2F" w:rsidP="009C0E2F">
      <w:pPr>
        <w:autoSpaceDE w:val="0"/>
        <w:autoSpaceDN w:val="0"/>
        <w:rPr>
          <w:rFonts w:ascii="Calibri" w:hAnsi="Calibri"/>
          <w:color w:val="1F497D"/>
        </w:rPr>
      </w:pPr>
      <w:r w:rsidRPr="009C0E2F">
        <w:rPr>
          <w:rFonts w:ascii="Calibri" w:hAnsi="Calibri"/>
          <w:color w:val="1F497D"/>
        </w:rPr>
        <w:t>For any further clarifications or specific ICRU-related issues, please contact Elkhan Aliyev (</w:t>
      </w:r>
      <w:hyperlink r:id="rId11" w:history="1">
        <w:r w:rsidRPr="009C0E2F">
          <w:rPr>
            <w:rFonts w:ascii="Calibri" w:hAnsi="Calibri"/>
            <w:color w:val="1F497D"/>
            <w:u w:val="single"/>
          </w:rPr>
          <w:t>Elkhan.Aliyev@fao.org</w:t>
        </w:r>
      </w:hyperlink>
      <w:r w:rsidRPr="009C0E2F">
        <w:rPr>
          <w:rFonts w:ascii="Calibri" w:hAnsi="Calibri"/>
          <w:color w:val="1F497D"/>
        </w:rPr>
        <w:t xml:space="preserve"> ) or Fabio de Felice (</w:t>
      </w:r>
      <w:hyperlink r:id="rId12" w:history="1">
        <w:r w:rsidRPr="009C0E2F">
          <w:rPr>
            <w:rFonts w:ascii="Calibri" w:hAnsi="Calibri"/>
            <w:color w:val="1F497D"/>
            <w:u w:val="single"/>
          </w:rPr>
          <w:t>Fabio.DeFelice@fao.org</w:t>
        </w:r>
      </w:hyperlink>
      <w:r w:rsidRPr="009C0E2F">
        <w:rPr>
          <w:rFonts w:ascii="Calibri" w:hAnsi="Calibri"/>
          <w:color w:val="1F497D"/>
        </w:rPr>
        <w:t xml:space="preserve">) in OSP. </w:t>
      </w:r>
    </w:p>
    <w:p w:rsidR="009C0E2F" w:rsidRPr="009C0E2F" w:rsidRDefault="009C0E2F" w:rsidP="009C0E2F">
      <w:pPr>
        <w:pStyle w:val="ListParagraph"/>
        <w:autoSpaceDE w:val="0"/>
        <w:autoSpaceDN w:val="0"/>
        <w:adjustRightInd w:val="0"/>
        <w:ind w:left="360"/>
        <w:rPr>
          <w:rFonts w:ascii="Calibri" w:hAnsi="Calibri" w:cs="Calibri"/>
          <w:i/>
          <w:iCs/>
          <w:color w:val="1F497D"/>
          <w:lang w:val="en-GB"/>
        </w:rPr>
      </w:pPr>
    </w:p>
    <w:p w:rsidR="00406369" w:rsidRDefault="00335031" w:rsidP="00482B98">
      <w:pPr>
        <w:autoSpaceDE w:val="0"/>
        <w:autoSpaceDN w:val="0"/>
      </w:pPr>
      <w:r>
        <w:rPr>
          <w:color w:val="1F497D"/>
        </w:rPr>
        <w:t xml:space="preserve">Almost all staff and consultants incur direct costs to the Organization and benefit from FAO services, and </w:t>
      </w:r>
      <w:r w:rsidR="00482B98">
        <w:rPr>
          <w:color w:val="1F497D"/>
        </w:rPr>
        <w:t>the Organization has</w:t>
      </w:r>
      <w:r>
        <w:rPr>
          <w:color w:val="1F497D"/>
        </w:rPr>
        <w:t xml:space="preserve"> been mandated by the Governing Bodies to recover these costs, hence when preparing the budget revisions, </w:t>
      </w:r>
      <w:r w:rsidR="00482B98">
        <w:rPr>
          <w:color w:val="1F497D"/>
        </w:rPr>
        <w:t xml:space="preserve">Budget Holders should </w:t>
      </w:r>
      <w:r>
        <w:rPr>
          <w:color w:val="1F497D"/>
        </w:rPr>
        <w:t>ensure that ICRU is included.</w:t>
      </w:r>
    </w:p>
    <w:sectPr w:rsidR="00406369" w:rsidSect="00505C61">
      <w:pgSz w:w="11907" w:h="16840" w:code="9"/>
      <w:pgMar w:top="1247" w:right="1247" w:bottom="124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5D" w:rsidRDefault="008F2F5D" w:rsidP="00CF5122">
      <w:r>
        <w:separator/>
      </w:r>
    </w:p>
  </w:endnote>
  <w:endnote w:type="continuationSeparator" w:id="0">
    <w:p w:rsidR="008F2F5D" w:rsidRDefault="008F2F5D" w:rsidP="00CF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5D" w:rsidRDefault="008F2F5D" w:rsidP="00CF5122">
      <w:r>
        <w:separator/>
      </w:r>
    </w:p>
  </w:footnote>
  <w:footnote w:type="continuationSeparator" w:id="0">
    <w:p w:rsidR="008F2F5D" w:rsidRDefault="008F2F5D" w:rsidP="00CF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64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8441F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BB441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AF370D"/>
    <w:multiLevelType w:val="hybridMultilevel"/>
    <w:tmpl w:val="703E6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426F"/>
    <w:multiLevelType w:val="hybridMultilevel"/>
    <w:tmpl w:val="E0920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845E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77135E6A"/>
    <w:multiLevelType w:val="hybridMultilevel"/>
    <w:tmpl w:val="AA7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17"/>
    <w:rsid w:val="000041BC"/>
    <w:rsid w:val="00094310"/>
    <w:rsid w:val="000A2570"/>
    <w:rsid w:val="00112311"/>
    <w:rsid w:val="00213F98"/>
    <w:rsid w:val="00214172"/>
    <w:rsid w:val="00230EEF"/>
    <w:rsid w:val="00251428"/>
    <w:rsid w:val="002769F0"/>
    <w:rsid w:val="00301136"/>
    <w:rsid w:val="00303F12"/>
    <w:rsid w:val="00316AE7"/>
    <w:rsid w:val="00335031"/>
    <w:rsid w:val="00371C78"/>
    <w:rsid w:val="003939A0"/>
    <w:rsid w:val="003A6E17"/>
    <w:rsid w:val="00406369"/>
    <w:rsid w:val="00410186"/>
    <w:rsid w:val="00467B42"/>
    <w:rsid w:val="004773AF"/>
    <w:rsid w:val="00482B98"/>
    <w:rsid w:val="004E2A43"/>
    <w:rsid w:val="004F1550"/>
    <w:rsid w:val="00505C61"/>
    <w:rsid w:val="005471B2"/>
    <w:rsid w:val="005F5513"/>
    <w:rsid w:val="00632FA2"/>
    <w:rsid w:val="007140BB"/>
    <w:rsid w:val="00770DB2"/>
    <w:rsid w:val="008855FC"/>
    <w:rsid w:val="00896DDA"/>
    <w:rsid w:val="008E636E"/>
    <w:rsid w:val="008F2F5D"/>
    <w:rsid w:val="00906F8A"/>
    <w:rsid w:val="009738C6"/>
    <w:rsid w:val="009B26C3"/>
    <w:rsid w:val="009C0707"/>
    <w:rsid w:val="009C0E2F"/>
    <w:rsid w:val="00A616C7"/>
    <w:rsid w:val="00AD01CF"/>
    <w:rsid w:val="00AD61C2"/>
    <w:rsid w:val="00AF11F2"/>
    <w:rsid w:val="00B3267B"/>
    <w:rsid w:val="00BA12BD"/>
    <w:rsid w:val="00BB2518"/>
    <w:rsid w:val="00BF4E67"/>
    <w:rsid w:val="00C03CED"/>
    <w:rsid w:val="00C52F37"/>
    <w:rsid w:val="00C92418"/>
    <w:rsid w:val="00CF5122"/>
    <w:rsid w:val="00DA2DA2"/>
    <w:rsid w:val="00E20E83"/>
    <w:rsid w:val="00E71703"/>
    <w:rsid w:val="00E90C87"/>
    <w:rsid w:val="00E95E72"/>
    <w:rsid w:val="00F35759"/>
    <w:rsid w:val="00F4069C"/>
    <w:rsid w:val="00FC0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F5D74-996F-4212-9453-2AE4EE28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1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F98"/>
    <w:pPr>
      <w:tabs>
        <w:tab w:val="center" w:pos="4536"/>
        <w:tab w:val="right" w:pos="9072"/>
      </w:tabs>
    </w:pPr>
    <w:rPr>
      <w:rFonts w:ascii="Times New Roman" w:hAnsi="Times New Roman"/>
      <w:sz w:val="24"/>
      <w:lang w:val="en-GB"/>
    </w:rPr>
  </w:style>
  <w:style w:type="character" w:customStyle="1" w:styleId="HeaderChar">
    <w:name w:val="Header Char"/>
    <w:basedOn w:val="DefaultParagraphFont"/>
    <w:link w:val="Header"/>
    <w:uiPriority w:val="99"/>
    <w:rsid w:val="00213F98"/>
    <w:rPr>
      <w:rFonts w:ascii="Times New Roman" w:hAnsi="Times New Roman"/>
      <w:sz w:val="24"/>
      <w:lang w:val="en-GB"/>
    </w:rPr>
  </w:style>
  <w:style w:type="paragraph" w:styleId="Footer">
    <w:name w:val="footer"/>
    <w:basedOn w:val="Normal"/>
    <w:link w:val="FooterChar"/>
    <w:uiPriority w:val="99"/>
    <w:unhideWhenUsed/>
    <w:rsid w:val="00213F98"/>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213F98"/>
    <w:rPr>
      <w:rFonts w:ascii="Times New Roman" w:hAnsi="Times New Roman"/>
      <w:sz w:val="24"/>
      <w:lang w:val="en-GB"/>
    </w:rPr>
  </w:style>
  <w:style w:type="character" w:styleId="Hyperlink">
    <w:name w:val="Hyperlink"/>
    <w:basedOn w:val="DefaultParagraphFont"/>
    <w:uiPriority w:val="99"/>
    <w:semiHidden/>
    <w:unhideWhenUsed/>
    <w:rsid w:val="003A6E17"/>
    <w:rPr>
      <w:color w:val="0000FF"/>
      <w:u w:val="single"/>
    </w:rPr>
  </w:style>
  <w:style w:type="paragraph" w:styleId="ListParagraph">
    <w:name w:val="List Paragraph"/>
    <w:basedOn w:val="Normal"/>
    <w:uiPriority w:val="34"/>
    <w:qFormat/>
    <w:rsid w:val="004773AF"/>
    <w:pPr>
      <w:ind w:left="720"/>
      <w:contextualSpacing/>
    </w:pPr>
  </w:style>
  <w:style w:type="paragraph" w:styleId="BalloonText">
    <w:name w:val="Balloon Text"/>
    <w:basedOn w:val="Normal"/>
    <w:link w:val="BalloonTextChar"/>
    <w:uiPriority w:val="99"/>
    <w:semiHidden/>
    <w:unhideWhenUsed/>
    <w:rsid w:val="00482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2564">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786238636">
      <w:bodyDiv w:val="1"/>
      <w:marLeft w:val="0"/>
      <w:marRight w:val="0"/>
      <w:marTop w:val="0"/>
      <w:marBottom w:val="0"/>
      <w:divBdr>
        <w:top w:val="none" w:sz="0" w:space="0" w:color="auto"/>
        <w:left w:val="none" w:sz="0" w:space="0" w:color="auto"/>
        <w:bottom w:val="none" w:sz="0" w:space="0" w:color="auto"/>
        <w:right w:val="none" w:sz="0" w:space="0" w:color="auto"/>
      </w:divBdr>
    </w:div>
    <w:div w:id="929464026">
      <w:bodyDiv w:val="1"/>
      <w:marLeft w:val="0"/>
      <w:marRight w:val="0"/>
      <w:marTop w:val="0"/>
      <w:marBottom w:val="0"/>
      <w:divBdr>
        <w:top w:val="none" w:sz="0" w:space="0" w:color="auto"/>
        <w:left w:val="none" w:sz="0" w:space="0" w:color="auto"/>
        <w:bottom w:val="none" w:sz="0" w:space="0" w:color="auto"/>
        <w:right w:val="none" w:sz="0" w:space="0" w:color="auto"/>
      </w:divBdr>
    </w:div>
    <w:div w:id="19247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meeting/023/mc205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docrep/meeting/023/mc205e.pdf" TargetMode="External"/><Relationship Id="rId12" Type="http://schemas.openxmlformats.org/officeDocument/2006/relationships/hyperlink" Target="mailto:Fabio.DeFelice@fa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khan.Aliyev@fao.org" TargetMode="External"/><Relationship Id="rId5" Type="http://schemas.openxmlformats.org/officeDocument/2006/relationships/footnotes" Target="footnotes.xml"/><Relationship Id="rId10" Type="http://schemas.openxmlformats.org/officeDocument/2006/relationships/hyperlink" Target="http://www.fao.org/docrep/meeting/029/mi822E.pdf" TargetMode="External"/><Relationship Id="rId4" Type="http://schemas.openxmlformats.org/officeDocument/2006/relationships/webSettings" Target="webSettings.xml"/><Relationship Id="rId9" Type="http://schemas.openxmlformats.org/officeDocument/2006/relationships/hyperlink" Target="http://www.fao.org/bodies/fc/fc147/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DeFelice (OSP)</dc:creator>
  <cp:lastModifiedBy>Harper, Elisabetta (OSD)</cp:lastModifiedBy>
  <cp:revision>2</cp:revision>
  <cp:lastPrinted>2014-04-29T16:15:00Z</cp:lastPrinted>
  <dcterms:created xsi:type="dcterms:W3CDTF">2016-03-11T13:50:00Z</dcterms:created>
  <dcterms:modified xsi:type="dcterms:W3CDTF">2016-03-11T13:50:00Z</dcterms:modified>
</cp:coreProperties>
</file>